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AEE" w:rsidRPr="0086194D" w:rsidRDefault="00FE2BFF" w:rsidP="0086194D">
      <w:pPr>
        <w:pStyle w:val="Heading2"/>
        <w:rPr>
          <w:rFonts w:asciiTheme="minorHAnsi" w:hAnsiTheme="minorHAnsi"/>
          <w:b w:val="0"/>
          <w:sz w:val="40"/>
          <w:szCs w:val="40"/>
          <w:u w:val="single"/>
        </w:rPr>
      </w:pPr>
      <w:r>
        <w:rPr>
          <w:rFonts w:asciiTheme="minorHAnsi" w:hAnsiTheme="minorHAnsi"/>
          <w:b w:val="0"/>
          <w:sz w:val="40"/>
          <w:szCs w:val="40"/>
          <w:u w:val="single"/>
        </w:rPr>
        <w:t>Good Character &amp; Reputation Decision-Making Guidelines</w:t>
      </w:r>
    </w:p>
    <w:p w:rsidR="006349E5" w:rsidRDefault="006349E5" w:rsidP="00D539E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Approval Date:</w:t>
      </w:r>
      <w:r w:rsidR="00D61FEE">
        <w:rPr>
          <w:b/>
          <w:sz w:val="28"/>
          <w:szCs w:val="28"/>
        </w:rPr>
        <w:t xml:space="preserve"> </w:t>
      </w:r>
      <w:r w:rsidR="00D61FEE" w:rsidRPr="00D61FEE">
        <w:t>September 26, 2017</w:t>
      </w:r>
    </w:p>
    <w:p w:rsidR="00D539E5" w:rsidRPr="00184622" w:rsidRDefault="00D539E5" w:rsidP="00D539E5">
      <w:pPr>
        <w:pStyle w:val="NoSpacing"/>
      </w:pPr>
    </w:p>
    <w:p w:rsidR="00AD2111" w:rsidRPr="000C0725" w:rsidRDefault="00AD2111" w:rsidP="00AD2111">
      <w:pPr>
        <w:spacing w:after="0" w:line="240" w:lineRule="auto"/>
        <w:rPr>
          <w:rFonts w:cs="Times New Roman"/>
          <w:b/>
          <w:sz w:val="28"/>
          <w:szCs w:val="28"/>
        </w:rPr>
      </w:pPr>
      <w:r w:rsidRPr="000C0725">
        <w:rPr>
          <w:rFonts w:cs="Times New Roman"/>
          <w:b/>
          <w:sz w:val="28"/>
          <w:szCs w:val="28"/>
        </w:rPr>
        <w:t>Purpose</w:t>
      </w:r>
    </w:p>
    <w:p w:rsidR="00AD2111" w:rsidRPr="00BC6F5C" w:rsidRDefault="00AD2111" w:rsidP="00AD2111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The purpose of this </w:t>
      </w:r>
      <w:r w:rsidR="0086194D">
        <w:rPr>
          <w:rFonts w:cs="Times New Roman"/>
        </w:rPr>
        <w:t xml:space="preserve">guideline is to encourage consistent decision-making among </w:t>
      </w:r>
      <w:r w:rsidR="0044145C">
        <w:rPr>
          <w:rFonts w:cs="Times New Roman"/>
        </w:rPr>
        <w:t xml:space="preserve">physiotherapy regulators across </w:t>
      </w:r>
      <w:r w:rsidR="0086194D">
        <w:rPr>
          <w:rFonts w:cs="Times New Roman"/>
        </w:rPr>
        <w:t>all</w:t>
      </w:r>
      <w:r w:rsidR="0044145C">
        <w:rPr>
          <w:rFonts w:cs="Times New Roman"/>
        </w:rPr>
        <w:t xml:space="preserve"> Canadian</w:t>
      </w:r>
      <w:r w:rsidR="0086194D">
        <w:rPr>
          <w:rFonts w:cs="Times New Roman"/>
        </w:rPr>
        <w:t xml:space="preserve"> jurisdictions with respect to conduct and criminal record information</w:t>
      </w:r>
      <w:r w:rsidRPr="00BC6F5C">
        <w:t xml:space="preserve">.  </w:t>
      </w:r>
    </w:p>
    <w:p w:rsidR="00D539E5" w:rsidRPr="000C0725" w:rsidRDefault="00BF7D58" w:rsidP="00D539E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Principles</w:t>
      </w:r>
      <w:bookmarkStart w:id="0" w:name="_GoBack"/>
      <w:bookmarkEnd w:id="0"/>
      <w:r w:rsidR="00D539E5" w:rsidRPr="000C0725">
        <w:rPr>
          <w:b/>
          <w:sz w:val="28"/>
          <w:szCs w:val="28"/>
        </w:rPr>
        <w:t xml:space="preserve"> </w:t>
      </w:r>
    </w:p>
    <w:p w:rsidR="00D539E5" w:rsidRPr="00184622" w:rsidRDefault="0086194D" w:rsidP="00D539E5">
      <w:pPr>
        <w:pStyle w:val="NoSpacing"/>
      </w:pPr>
      <w:r>
        <w:t>The Registrars Committee has adopted the Council for Healthcare Regulatory Excellence (CHRE)’s key principles for determining good character</w:t>
      </w:r>
      <w:r w:rsidR="0044145C">
        <w:rPr>
          <w:rStyle w:val="FootnoteReference"/>
        </w:rPr>
        <w:footnoteReference w:id="1"/>
      </w:r>
      <w:r>
        <w:t>.  These key principles form the basis of the guidelines</w:t>
      </w:r>
      <w:r w:rsidR="006329E8">
        <w:t xml:space="preserve">. </w:t>
      </w:r>
    </w:p>
    <w:p w:rsidR="00D539E5" w:rsidRPr="00184622" w:rsidRDefault="00D539E5" w:rsidP="00D539E5">
      <w:pPr>
        <w:pStyle w:val="NoSpacing"/>
      </w:pPr>
    </w:p>
    <w:p w:rsidR="00D539E5" w:rsidRPr="000C0725" w:rsidRDefault="0086194D" w:rsidP="00D539E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Decision-making Guidelines</w:t>
      </w:r>
    </w:p>
    <w:p w:rsidR="0086194D" w:rsidRDefault="0086194D" w:rsidP="008619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Positive findings arising from a regulatory history check or criminal record screen will be considered for further action by the College. The objective is to determine whether: </w:t>
      </w:r>
    </w:p>
    <w:p w:rsidR="0086194D" w:rsidRDefault="0086194D" w:rsidP="0086194D">
      <w:pPr>
        <w:pStyle w:val="Default"/>
        <w:rPr>
          <w:sz w:val="22"/>
          <w:szCs w:val="22"/>
        </w:rPr>
      </w:pPr>
    </w:p>
    <w:p w:rsidR="0086194D" w:rsidRDefault="0086194D" w:rsidP="0086194D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The applicant has acted, or there is reason to believe they are liable in future to act: </w:t>
      </w:r>
    </w:p>
    <w:p w:rsidR="0086194D" w:rsidRDefault="0086194D" w:rsidP="0086194D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in such a way that puts at risk the health, safety or wellbeing of a patient or other member of the public </w:t>
      </w:r>
    </w:p>
    <w:p w:rsidR="0086194D" w:rsidRDefault="0086194D" w:rsidP="0086194D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in such a way that his/her registration would undermine public confidence in the profession </w:t>
      </w:r>
    </w:p>
    <w:p w:rsidR="0086194D" w:rsidRDefault="0086194D" w:rsidP="0086194D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in such a way that indicates an unwillingness to act in accordance with the standards of practice or code of ethical conduct for the profession </w:t>
      </w:r>
    </w:p>
    <w:p w:rsidR="0086194D" w:rsidRDefault="0086194D" w:rsidP="0086194D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in a dishonest manner </w:t>
      </w:r>
    </w:p>
    <w:p w:rsidR="0086194D" w:rsidRDefault="0086194D" w:rsidP="0086194D">
      <w:pPr>
        <w:pStyle w:val="Default"/>
        <w:rPr>
          <w:sz w:val="22"/>
          <w:szCs w:val="22"/>
        </w:rPr>
      </w:pPr>
    </w:p>
    <w:p w:rsidR="0086194D" w:rsidRDefault="0086194D" w:rsidP="0086194D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To assist with answering 1</w:t>
      </w:r>
      <w:r w:rsidR="00424419">
        <w:rPr>
          <w:sz w:val="22"/>
          <w:szCs w:val="22"/>
        </w:rPr>
        <w:t>(a) to 1(d) above, the Registrar</w:t>
      </w:r>
      <w:r w:rsidR="00424419">
        <w:rPr>
          <w:rStyle w:val="FootnoteReference"/>
          <w:sz w:val="22"/>
          <w:szCs w:val="22"/>
        </w:rPr>
        <w:footnoteReference w:id="2"/>
      </w:r>
      <w:r w:rsidR="004244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will consider the following: </w:t>
      </w:r>
    </w:p>
    <w:p w:rsidR="0086194D" w:rsidRDefault="0086194D" w:rsidP="0042441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gramStart"/>
      <w:r>
        <w:rPr>
          <w:sz w:val="22"/>
          <w:szCs w:val="22"/>
        </w:rPr>
        <w:t>time period</w:t>
      </w:r>
      <w:proofErr w:type="gramEnd"/>
      <w:r>
        <w:rPr>
          <w:sz w:val="22"/>
          <w:szCs w:val="22"/>
        </w:rPr>
        <w:t xml:space="preserve"> of the conduct or conviction. </w:t>
      </w:r>
    </w:p>
    <w:p w:rsidR="0086194D" w:rsidRDefault="0086194D" w:rsidP="0042441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The seriousness of the conduct of conviction. </w:t>
      </w:r>
    </w:p>
    <w:p w:rsidR="00424419" w:rsidRDefault="0086194D" w:rsidP="0042441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The relevance of the offense to the practice of physiothera</w:t>
      </w:r>
      <w:r w:rsidR="00424419">
        <w:rPr>
          <w:sz w:val="22"/>
          <w:szCs w:val="22"/>
        </w:rPr>
        <w:t>py.</w:t>
      </w:r>
    </w:p>
    <w:p w:rsidR="0086194D" w:rsidRPr="00424419" w:rsidRDefault="0086194D" w:rsidP="0042441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424419">
        <w:rPr>
          <w:color w:val="191919"/>
          <w:sz w:val="22"/>
          <w:szCs w:val="22"/>
        </w:rPr>
        <w:t>Competence of the applicant to be admitted to the profession</w:t>
      </w:r>
      <w:r w:rsidR="00424419" w:rsidRPr="00424419">
        <w:rPr>
          <w:color w:val="191919"/>
          <w:sz w:val="22"/>
          <w:szCs w:val="22"/>
        </w:rPr>
        <w:t>.</w:t>
      </w:r>
      <w:r w:rsidR="00424419">
        <w:rPr>
          <w:rStyle w:val="FootnoteReference"/>
          <w:color w:val="191919"/>
          <w:sz w:val="22"/>
          <w:szCs w:val="22"/>
        </w:rPr>
        <w:footnoteReference w:id="3"/>
      </w:r>
      <w:r w:rsidR="00424419" w:rsidRPr="00424419">
        <w:rPr>
          <w:color w:val="191919"/>
          <w:sz w:val="22"/>
          <w:szCs w:val="22"/>
        </w:rPr>
        <w:t xml:space="preserve">  </w:t>
      </w:r>
    </w:p>
    <w:p w:rsidR="0086194D" w:rsidRDefault="0086194D" w:rsidP="00424419">
      <w:pPr>
        <w:pStyle w:val="Default"/>
        <w:numPr>
          <w:ilvl w:val="0"/>
          <w:numId w:val="12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 xml:space="preserve">Behaviour and character of the applicant after the offense, e.g., evidence of rehabilitation, completion of sanctions. </w:t>
      </w:r>
    </w:p>
    <w:p w:rsidR="0086194D" w:rsidRDefault="0086194D" w:rsidP="0086194D">
      <w:pPr>
        <w:pStyle w:val="Default"/>
        <w:rPr>
          <w:color w:val="191919"/>
          <w:sz w:val="22"/>
          <w:szCs w:val="22"/>
        </w:rPr>
      </w:pPr>
    </w:p>
    <w:p w:rsidR="0086194D" w:rsidRDefault="0086194D" w:rsidP="00424419">
      <w:pPr>
        <w:pStyle w:val="Default"/>
        <w:numPr>
          <w:ilvl w:val="0"/>
          <w:numId w:val="9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 xml:space="preserve">To determine if the applicant has been rehabilitated, the Registrar may require the applicant to provide evidence of the following: </w:t>
      </w:r>
    </w:p>
    <w:p w:rsidR="0086194D" w:rsidRDefault="0086194D" w:rsidP="0086194D">
      <w:pPr>
        <w:pStyle w:val="Default"/>
        <w:numPr>
          <w:ilvl w:val="0"/>
          <w:numId w:val="7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 xml:space="preserve">Demonstrates insight and awareness. </w:t>
      </w:r>
    </w:p>
    <w:p w:rsidR="0086194D" w:rsidRDefault="0086194D" w:rsidP="0086194D">
      <w:pPr>
        <w:pStyle w:val="Default"/>
        <w:numPr>
          <w:ilvl w:val="0"/>
          <w:numId w:val="7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 xml:space="preserve">Understands what their personal risk factors are which contributed to their misconduct or offense. </w:t>
      </w:r>
    </w:p>
    <w:p w:rsidR="0086194D" w:rsidRDefault="0086194D" w:rsidP="0086194D">
      <w:pPr>
        <w:pStyle w:val="Default"/>
        <w:numPr>
          <w:ilvl w:val="0"/>
          <w:numId w:val="7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>Can make choices considering their risk factors to re-</w:t>
      </w:r>
      <w:proofErr w:type="gramStart"/>
      <w:r>
        <w:rPr>
          <w:color w:val="191919"/>
          <w:sz w:val="22"/>
          <w:szCs w:val="22"/>
        </w:rPr>
        <w:t>offend.</w:t>
      </w:r>
      <w:proofErr w:type="gramEnd"/>
      <w:r>
        <w:rPr>
          <w:color w:val="191919"/>
          <w:sz w:val="22"/>
          <w:szCs w:val="22"/>
        </w:rPr>
        <w:t xml:space="preserve"> </w:t>
      </w:r>
    </w:p>
    <w:p w:rsidR="0086194D" w:rsidRDefault="0086194D" w:rsidP="0086194D">
      <w:pPr>
        <w:pStyle w:val="Default"/>
        <w:numPr>
          <w:ilvl w:val="0"/>
          <w:numId w:val="7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 xml:space="preserve">Followed through with sanctions. </w:t>
      </w:r>
    </w:p>
    <w:p w:rsidR="0086194D" w:rsidRDefault="0086194D" w:rsidP="0086194D">
      <w:pPr>
        <w:pStyle w:val="Default"/>
        <w:numPr>
          <w:ilvl w:val="0"/>
          <w:numId w:val="7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lastRenderedPageBreak/>
        <w:t xml:space="preserve">Made a character change, and if so, is this sustainable. </w:t>
      </w:r>
    </w:p>
    <w:p w:rsidR="0086194D" w:rsidRDefault="0086194D" w:rsidP="0086194D">
      <w:pPr>
        <w:pStyle w:val="Default"/>
        <w:numPr>
          <w:ilvl w:val="0"/>
          <w:numId w:val="7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>Shows remorse for past conduct (</w:t>
      </w:r>
      <w:proofErr w:type="spellStart"/>
      <w:r>
        <w:rPr>
          <w:color w:val="191919"/>
          <w:sz w:val="22"/>
          <w:szCs w:val="22"/>
        </w:rPr>
        <w:t>e.g</w:t>
      </w:r>
      <w:proofErr w:type="spellEnd"/>
      <w:r>
        <w:rPr>
          <w:color w:val="191919"/>
          <w:sz w:val="22"/>
          <w:szCs w:val="22"/>
        </w:rPr>
        <w:t xml:space="preserve">, harm caused to patients, employer, profession). </w:t>
      </w:r>
    </w:p>
    <w:p w:rsidR="0086194D" w:rsidRDefault="0086194D" w:rsidP="0086194D">
      <w:pPr>
        <w:pStyle w:val="Default"/>
        <w:rPr>
          <w:color w:val="191919"/>
          <w:sz w:val="22"/>
          <w:szCs w:val="22"/>
        </w:rPr>
      </w:pPr>
    </w:p>
    <w:p w:rsidR="0086194D" w:rsidRDefault="0086194D" w:rsidP="00424419">
      <w:pPr>
        <w:pStyle w:val="Default"/>
        <w:numPr>
          <w:ilvl w:val="0"/>
          <w:numId w:val="9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 xml:space="preserve">To determine if the applicant is competent to be readmitted to the profession, the Registrar may require the applicant to provide evidence of the following: </w:t>
      </w:r>
    </w:p>
    <w:p w:rsidR="0086194D" w:rsidRDefault="0086194D" w:rsidP="0086194D">
      <w:pPr>
        <w:pStyle w:val="Default"/>
        <w:numPr>
          <w:ilvl w:val="0"/>
          <w:numId w:val="8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 xml:space="preserve">Followed through with sanctions. </w:t>
      </w:r>
    </w:p>
    <w:p w:rsidR="0086194D" w:rsidRDefault="0086194D" w:rsidP="0086194D">
      <w:pPr>
        <w:pStyle w:val="Default"/>
        <w:numPr>
          <w:ilvl w:val="0"/>
          <w:numId w:val="8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 xml:space="preserve">Jurisprudence knowledge is adequate. </w:t>
      </w:r>
    </w:p>
    <w:p w:rsidR="0086194D" w:rsidRDefault="0086194D" w:rsidP="0086194D">
      <w:pPr>
        <w:pStyle w:val="Default"/>
        <w:numPr>
          <w:ilvl w:val="0"/>
          <w:numId w:val="8"/>
        </w:numPr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 xml:space="preserve">Recognizes professional knowledge limits. </w:t>
      </w:r>
    </w:p>
    <w:p w:rsidR="0086194D" w:rsidRDefault="0086194D" w:rsidP="0086194D">
      <w:pPr>
        <w:pStyle w:val="Default"/>
        <w:rPr>
          <w:color w:val="191919"/>
          <w:sz w:val="22"/>
          <w:szCs w:val="22"/>
        </w:rPr>
      </w:pPr>
    </w:p>
    <w:p w:rsidR="00C11477" w:rsidRPr="00981783" w:rsidRDefault="00C11477" w:rsidP="00D539E5">
      <w:pPr>
        <w:pStyle w:val="NoSpacing"/>
        <w:rPr>
          <w:sz w:val="18"/>
          <w:szCs w:val="18"/>
        </w:rPr>
      </w:pPr>
    </w:p>
    <w:p w:rsidR="00C11477" w:rsidRDefault="00C11477" w:rsidP="00D539E5">
      <w:pPr>
        <w:pStyle w:val="NoSpacing"/>
      </w:pPr>
    </w:p>
    <w:p w:rsidR="00C11477" w:rsidRDefault="00C11477" w:rsidP="00D539E5">
      <w:pPr>
        <w:pStyle w:val="NoSpacing"/>
      </w:pPr>
    </w:p>
    <w:p w:rsidR="00C11477" w:rsidRDefault="00C11477" w:rsidP="00D539E5">
      <w:pPr>
        <w:pStyle w:val="NoSpacing"/>
      </w:pPr>
    </w:p>
    <w:p w:rsidR="00C11477" w:rsidRPr="00C11477" w:rsidRDefault="00C11477" w:rsidP="00D539E5">
      <w:pPr>
        <w:pStyle w:val="NoSpacing"/>
      </w:pPr>
    </w:p>
    <w:sectPr w:rsidR="00C11477" w:rsidRPr="00C11477" w:rsidSect="000C0725">
      <w:headerReference w:type="default" r:id="rId8"/>
      <w:footerReference w:type="default" r:id="rId9"/>
      <w:headerReference w:type="first" r:id="rId10"/>
      <w:pgSz w:w="12240" w:h="15840"/>
      <w:pgMar w:top="1440" w:right="1440" w:bottom="1134" w:left="144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622" w:rsidRDefault="00184622" w:rsidP="00184622">
      <w:pPr>
        <w:spacing w:after="0" w:line="240" w:lineRule="auto"/>
      </w:pPr>
      <w:r>
        <w:separator/>
      </w:r>
    </w:p>
  </w:endnote>
  <w:endnote w:type="continuationSeparator" w:id="0">
    <w:p w:rsidR="00184622" w:rsidRDefault="00184622" w:rsidP="0018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765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1589" w:rsidRDefault="00D615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D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7D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5EC4" w:rsidRDefault="0002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622" w:rsidRDefault="00184622" w:rsidP="00184622">
      <w:pPr>
        <w:spacing w:after="0" w:line="240" w:lineRule="auto"/>
      </w:pPr>
      <w:r>
        <w:separator/>
      </w:r>
    </w:p>
  </w:footnote>
  <w:footnote w:type="continuationSeparator" w:id="0">
    <w:p w:rsidR="00184622" w:rsidRDefault="00184622" w:rsidP="00184622">
      <w:pPr>
        <w:spacing w:after="0" w:line="240" w:lineRule="auto"/>
      </w:pPr>
      <w:r>
        <w:continuationSeparator/>
      </w:r>
    </w:p>
  </w:footnote>
  <w:footnote w:id="1">
    <w:p w:rsidR="0044145C" w:rsidRDefault="004414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81783">
        <w:rPr>
          <w:iCs/>
          <w:sz w:val="18"/>
          <w:szCs w:val="18"/>
        </w:rPr>
        <w:t xml:space="preserve">A common approach to good character across the health professions regulators. CHRE. 2008 </w:t>
      </w:r>
      <w:r w:rsidRPr="00981783">
        <w:t xml:space="preserve"> </w:t>
      </w:r>
    </w:p>
  </w:footnote>
  <w:footnote w:id="2">
    <w:p w:rsidR="00424419" w:rsidRPr="00424419" w:rsidRDefault="00424419" w:rsidP="00424419">
      <w:pPr>
        <w:pStyle w:val="Defaul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For some College’s this may be a Registration Committee or other panel. To be modified as appropriate. </w:t>
      </w:r>
    </w:p>
  </w:footnote>
  <w:footnote w:id="3">
    <w:p w:rsidR="00424419" w:rsidRDefault="00424419" w:rsidP="00424419">
      <w:pPr>
        <w:pStyle w:val="Default"/>
        <w:rPr>
          <w:color w:val="191919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While competence may be outside of Good Character &amp; Reputation, if a conduct issue identified lack of competence it would need to be considered. </w:t>
      </w:r>
    </w:p>
    <w:p w:rsidR="00424419" w:rsidRDefault="0042441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22" w:rsidRDefault="00C11477">
    <w:pPr>
      <w:pStyle w:val="Header"/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DF642B" wp14:editId="3F1285D6">
              <wp:simplePos x="0" y="0"/>
              <wp:positionH relativeFrom="margin">
                <wp:posOffset>2499360</wp:posOffset>
              </wp:positionH>
              <wp:positionV relativeFrom="paragraph">
                <wp:posOffset>-15240</wp:posOffset>
              </wp:positionV>
              <wp:extent cx="3680460" cy="396240"/>
              <wp:effectExtent l="0" t="0" r="1524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04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477" w:rsidRPr="00C11477" w:rsidRDefault="00C11477" w:rsidP="00C11477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C11477">
                            <w:rPr>
                              <w:sz w:val="28"/>
                              <w:szCs w:val="28"/>
                            </w:rPr>
                            <w:t>Name of Policy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F64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6.8pt;margin-top:-1.2pt;width:289.8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f8JwIAAEgEAAAOAAAAZHJzL2Uyb0RvYy54bWysVNtu2zAMfR+wfxD0vthxkzQx4hRdugwD&#10;ugvQ7gNkWY6FSaImKbG7rx8lp1nQbS/D/CCIInVEnkN6fTNoRY7CeQmmotNJTokwHBpp9hX9+rh7&#10;s6TEB2YapsCIij4JT282r1+te1uKAjpQjXAEQYwve1vRLgRbZpnnndDMT8AKg84WnGYBTbfPGsd6&#10;RNcqK/J8kfXgGuuAC+/x9G500k3Cb1vBw+e29SIQVVHMLaTVpbWOa7ZZs3LvmO0kP6XB/iELzaTB&#10;R89QdywwcnDyNygtuQMPbZhw0Bm0reQi1YDVTPMX1Tx0zIpUC5Lj7Zkm//9g+afjF0dkU9Fiek2J&#10;YRpFehRDIG9hIEXkp7e+xLAHi4FhwGPUOdXq7T3wb54Y2HbM7MWtc9B3gjWY3zTezC6ujjg+gtT9&#10;R2jwGXYIkICG1ulIHtJBEB11ejprE1PheHi1WOazBbo4+q5Wi2KWxMtY+XzbOh/eC9AkbirqUPuE&#10;zo73PsRsWPkcEh/zoGSzk0olw+3rrXLkyLBPdulLBbwIU4b0FV3Ni/lIwF8h8vT9CULLgA2vpK7o&#10;8hzEykjbO9OkdgxMqnGPKStz4jFSN5IYhno46VJD84SMOhgbGwcRNx24H5T02NQV9d8PzAlK1AeD&#10;qqymM6SNhGTM5tcFGu7SU196mOEIVVEeHCWjsQ1pdiJlBm5Rv1YmaqPQYy6nbLFdE+On0YrzcGmn&#10;qF8/gM1PAAAA//8DAFBLAwQUAAYACAAAACEAo+gb090AAAAJAQAADwAAAGRycy9kb3ducmV2Lnht&#10;bEyPy07DMBBF90j8gzVI7FqbBIU2jVNFRSyLREGsXXuaBPyS7abh7zEruhzdo3vPNNvZaDJhiKOz&#10;HB6WDAha6dRoew4f7y+LFZCYhFVCO4scfjDCtr29aUSt3MW+4XRIPcklNtaCw5CSrymNckAj4tJ5&#10;tDk7uWBEymfoqQriksuNpgVjFTVitHlhEB53A8rvw9lw2Hf7HXsNk+n85+lLCy/ls4+c39/N3QZI&#10;wjn9w/Cnn9WhzU5Hd7YqEs2hXJdVRjksikcgGVg/lQWQI4eKMaBtQ68/aH8BAAD//wMAUEsBAi0A&#10;FAAGAAgAAAAhALaDOJL+AAAA4QEAABMAAAAAAAAAAAAAAAAAAAAAAFtDb250ZW50X1R5cGVzXS54&#10;bWxQSwECLQAUAAYACAAAACEAOP0h/9YAAACUAQAACwAAAAAAAAAAAAAAAAAvAQAAX3JlbHMvLnJl&#10;bHNQSwECLQAUAAYACAAAACEAWM8n/CcCAABIBAAADgAAAAAAAAAAAAAAAAAuAgAAZHJzL2Uyb0Rv&#10;Yy54bWxQSwECLQAUAAYACAAAACEAo+gb090AAAAJAQAADwAAAAAAAAAAAAAAAACBBAAAZHJzL2Rv&#10;d25yZXYueG1sUEsFBgAAAAAEAAQA8wAAAIsFAAAAAA==&#10;">
              <v:textbox>
                <w:txbxContent>
                  <w:p w:rsidR="00C11477" w:rsidRPr="00C11477" w:rsidRDefault="00C11477" w:rsidP="00C11477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 w:rsidRPr="00C11477">
                      <w:rPr>
                        <w:sz w:val="28"/>
                        <w:szCs w:val="28"/>
                      </w:rPr>
                      <w:t>Name of Policy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4622">
      <w:rPr>
        <w:noProof/>
        <w:lang w:eastAsia="en-CA"/>
      </w:rPr>
      <w:drawing>
        <wp:inline distT="0" distB="0" distL="0" distR="0" wp14:anchorId="449F8AC5" wp14:editId="379B7A5D">
          <wp:extent cx="2315474" cy="40386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r_logo_black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588" cy="40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77" w:rsidRDefault="00C11477">
    <w:pPr>
      <w:pStyle w:val="Header"/>
    </w:pPr>
    <w:r>
      <w:rPr>
        <w:noProof/>
        <w:lang w:eastAsia="en-CA"/>
      </w:rPr>
      <w:drawing>
        <wp:inline distT="0" distB="0" distL="0" distR="0" wp14:anchorId="70F7CB89" wp14:editId="6D4833F0">
          <wp:extent cx="2315474" cy="40386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r_logo_black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588" cy="40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9DB"/>
    <w:multiLevelType w:val="hybridMultilevel"/>
    <w:tmpl w:val="AD84394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3D04"/>
    <w:multiLevelType w:val="hybridMultilevel"/>
    <w:tmpl w:val="852EA0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6085F"/>
    <w:multiLevelType w:val="hybridMultilevel"/>
    <w:tmpl w:val="A07677C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562C0"/>
    <w:multiLevelType w:val="hybridMultilevel"/>
    <w:tmpl w:val="76202D9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843B0"/>
    <w:multiLevelType w:val="hybridMultilevel"/>
    <w:tmpl w:val="F8A210E4"/>
    <w:lvl w:ilvl="0" w:tplc="2E62B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B4CA8"/>
    <w:multiLevelType w:val="hybridMultilevel"/>
    <w:tmpl w:val="067E7CD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D2FD4"/>
    <w:multiLevelType w:val="hybridMultilevel"/>
    <w:tmpl w:val="2398E3F0"/>
    <w:lvl w:ilvl="0" w:tplc="2E62B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12B8C"/>
    <w:multiLevelType w:val="hybridMultilevel"/>
    <w:tmpl w:val="A1640A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7738C"/>
    <w:multiLevelType w:val="hybridMultilevel"/>
    <w:tmpl w:val="073018B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F7C7C"/>
    <w:multiLevelType w:val="hybridMultilevel"/>
    <w:tmpl w:val="33DA78D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467E1"/>
    <w:multiLevelType w:val="hybridMultilevel"/>
    <w:tmpl w:val="56C2A30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8901DC"/>
    <w:multiLevelType w:val="hybridMultilevel"/>
    <w:tmpl w:val="FD62536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72"/>
    <w:rsid w:val="00025EC4"/>
    <w:rsid w:val="00053C9C"/>
    <w:rsid w:val="0008146B"/>
    <w:rsid w:val="000C0725"/>
    <w:rsid w:val="00184622"/>
    <w:rsid w:val="001A2915"/>
    <w:rsid w:val="001D6062"/>
    <w:rsid w:val="001E6742"/>
    <w:rsid w:val="001F1838"/>
    <w:rsid w:val="00204470"/>
    <w:rsid w:val="003C0038"/>
    <w:rsid w:val="004048A5"/>
    <w:rsid w:val="00424419"/>
    <w:rsid w:val="0044145C"/>
    <w:rsid w:val="00450C2F"/>
    <w:rsid w:val="00482261"/>
    <w:rsid w:val="004D6724"/>
    <w:rsid w:val="004E4651"/>
    <w:rsid w:val="004F6B3A"/>
    <w:rsid w:val="00501B0E"/>
    <w:rsid w:val="00532751"/>
    <w:rsid w:val="0053283D"/>
    <w:rsid w:val="005539C8"/>
    <w:rsid w:val="00573E61"/>
    <w:rsid w:val="006329E8"/>
    <w:rsid w:val="006349E5"/>
    <w:rsid w:val="006445B4"/>
    <w:rsid w:val="006D0B31"/>
    <w:rsid w:val="006F15D3"/>
    <w:rsid w:val="007042AF"/>
    <w:rsid w:val="00727AC5"/>
    <w:rsid w:val="007379E1"/>
    <w:rsid w:val="00757A05"/>
    <w:rsid w:val="007D2A33"/>
    <w:rsid w:val="007D3714"/>
    <w:rsid w:val="0086194D"/>
    <w:rsid w:val="008A6400"/>
    <w:rsid w:val="00922316"/>
    <w:rsid w:val="0093429D"/>
    <w:rsid w:val="00981783"/>
    <w:rsid w:val="00994798"/>
    <w:rsid w:val="009F6C10"/>
    <w:rsid w:val="00A007CD"/>
    <w:rsid w:val="00A031D6"/>
    <w:rsid w:val="00AA5CBE"/>
    <w:rsid w:val="00AB5275"/>
    <w:rsid w:val="00AB654A"/>
    <w:rsid w:val="00AD2111"/>
    <w:rsid w:val="00B0647F"/>
    <w:rsid w:val="00B4094B"/>
    <w:rsid w:val="00B77AEE"/>
    <w:rsid w:val="00B934F9"/>
    <w:rsid w:val="00BB69D7"/>
    <w:rsid w:val="00BB7772"/>
    <w:rsid w:val="00BC6F5C"/>
    <w:rsid w:val="00BF7D58"/>
    <w:rsid w:val="00C11477"/>
    <w:rsid w:val="00CC47FE"/>
    <w:rsid w:val="00CE5453"/>
    <w:rsid w:val="00D16EFF"/>
    <w:rsid w:val="00D539E5"/>
    <w:rsid w:val="00D61589"/>
    <w:rsid w:val="00D61FEE"/>
    <w:rsid w:val="00DC2176"/>
    <w:rsid w:val="00DE47E6"/>
    <w:rsid w:val="00E24461"/>
    <w:rsid w:val="00F2449F"/>
    <w:rsid w:val="00F306BF"/>
    <w:rsid w:val="00F90C69"/>
    <w:rsid w:val="00F932C0"/>
    <w:rsid w:val="00FA1E7F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E48EA6"/>
  <w15:chartTrackingRefBased/>
  <w15:docId w15:val="{FE7D0A92-7595-47C9-999B-70E5F083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7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BB7772"/>
    <w:pPr>
      <w:keepLines w:val="0"/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777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oSpacing">
    <w:name w:val="No Spacing"/>
    <w:uiPriority w:val="1"/>
    <w:qFormat/>
    <w:rsid w:val="00BB77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777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B7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8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622"/>
  </w:style>
  <w:style w:type="paragraph" w:styleId="Footer">
    <w:name w:val="footer"/>
    <w:basedOn w:val="Normal"/>
    <w:link w:val="FooterChar"/>
    <w:uiPriority w:val="99"/>
    <w:unhideWhenUsed/>
    <w:rsid w:val="0018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622"/>
  </w:style>
  <w:style w:type="table" w:styleId="TableGrid">
    <w:name w:val="Table Grid"/>
    <w:basedOn w:val="TableNormal"/>
    <w:uiPriority w:val="39"/>
    <w:rsid w:val="007D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19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4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4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4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472F-4D03-4262-BBB4-53215B14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Sinnige</dc:creator>
  <cp:keywords/>
  <dc:description/>
  <cp:lastModifiedBy>Diana Sinnige</cp:lastModifiedBy>
  <cp:revision>2</cp:revision>
  <cp:lastPrinted>2016-12-13T16:39:00Z</cp:lastPrinted>
  <dcterms:created xsi:type="dcterms:W3CDTF">2017-09-27T18:26:00Z</dcterms:created>
  <dcterms:modified xsi:type="dcterms:W3CDTF">2017-09-27T18:26:00Z</dcterms:modified>
</cp:coreProperties>
</file>