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AC" w:rsidRPr="00E629AC" w:rsidRDefault="00E629AC" w:rsidP="00E629AC">
      <w:pPr>
        <w:pStyle w:val="Body"/>
        <w:rPr>
          <w:lang w:val="en-US"/>
        </w:rPr>
      </w:pPr>
    </w:p>
    <w:p w:rsidR="009A6467" w:rsidRPr="009A6467" w:rsidRDefault="008051F8" w:rsidP="008051F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HAnsi" w:hAnsiTheme="minorHAnsi" w:cstheme="minorHAnsi"/>
          <w:b/>
          <w:bCs/>
          <w:color w:val="1E2430"/>
          <w:lang w:val="en-CA" w:eastAsia="en-CA"/>
        </w:rPr>
      </w:pPr>
      <w:bookmarkStart w:id="0" w:name="_GoBack"/>
      <w:proofErr w:type="spellStart"/>
      <w:r w:rsidRPr="008051F8">
        <w:rPr>
          <w:rFonts w:asciiTheme="minorHAnsi" w:eastAsiaTheme="majorEastAsia" w:hAnsiTheme="minorHAnsi" w:cstheme="majorBidi"/>
          <w:b/>
          <w:bCs/>
          <w:sz w:val="32"/>
          <w:szCs w:val="32"/>
        </w:rPr>
        <w:t>Norme</w:t>
      </w:r>
      <w:proofErr w:type="spellEnd"/>
      <w:r w:rsidRPr="008051F8">
        <w:rPr>
          <w:rFonts w:asciiTheme="minorHAnsi" w:eastAsiaTheme="majorEastAsia" w:hAnsiTheme="minorHAnsi" w:cstheme="majorBidi"/>
          <w:b/>
          <w:bCs/>
          <w:sz w:val="32"/>
          <w:szCs w:val="32"/>
        </w:rPr>
        <w:t xml:space="preserve"> sur les </w:t>
      </w:r>
      <w:proofErr w:type="spellStart"/>
      <w:r w:rsidRPr="008051F8">
        <w:rPr>
          <w:rFonts w:asciiTheme="minorHAnsi" w:eastAsiaTheme="majorEastAsia" w:hAnsiTheme="minorHAnsi" w:cstheme="majorBidi"/>
          <w:b/>
          <w:bCs/>
          <w:sz w:val="32"/>
          <w:szCs w:val="32"/>
        </w:rPr>
        <w:t>conflits</w:t>
      </w:r>
      <w:proofErr w:type="spellEnd"/>
      <w:r w:rsidRPr="008051F8">
        <w:rPr>
          <w:rFonts w:asciiTheme="minorHAnsi" w:eastAsiaTheme="majorEastAsia" w:hAnsiTheme="minorHAnsi" w:cstheme="majorBidi"/>
          <w:b/>
          <w:bCs/>
          <w:sz w:val="32"/>
          <w:szCs w:val="32"/>
        </w:rPr>
        <w:t xml:space="preserve"> </w:t>
      </w:r>
      <w:proofErr w:type="spellStart"/>
      <w:r w:rsidRPr="008051F8">
        <w:rPr>
          <w:rFonts w:asciiTheme="minorHAnsi" w:eastAsiaTheme="majorEastAsia" w:hAnsiTheme="minorHAnsi" w:cstheme="majorBidi"/>
          <w:b/>
          <w:bCs/>
          <w:sz w:val="32"/>
          <w:szCs w:val="32"/>
        </w:rPr>
        <w:t>d’intérêts</w:t>
      </w:r>
      <w:proofErr w:type="spellEnd"/>
    </w:p>
    <w:bookmarkEnd w:id="0"/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lang w:val="en-CA" w:eastAsia="en-CA"/>
        </w:rPr>
      </w:pPr>
      <w:r w:rsidRPr="008051F8">
        <w:rPr>
          <w:rFonts w:asciiTheme="minorHAnsi" w:hAnsiTheme="minorHAnsi" w:cstheme="minorHAnsi"/>
          <w:b/>
          <w:lang w:val="en-CA" w:eastAsia="en-CA"/>
        </w:rPr>
        <w:t xml:space="preserve">1.  Reconnaissance </w:t>
      </w:r>
      <w:proofErr w:type="gramStart"/>
      <w:r w:rsidRPr="008051F8">
        <w:rPr>
          <w:rFonts w:asciiTheme="minorHAnsi" w:hAnsiTheme="minorHAnsi" w:cstheme="minorHAnsi"/>
          <w:b/>
          <w:lang w:val="en-CA" w:eastAsia="en-CA"/>
        </w:rPr>
        <w:t>et</w:t>
      </w:r>
      <w:proofErr w:type="gramEnd"/>
      <w:r w:rsidRPr="008051F8">
        <w:rPr>
          <w:rFonts w:asciiTheme="minorHAnsi" w:hAnsiTheme="minorHAnsi" w:cstheme="minorHAnsi"/>
          <w:b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évitement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des 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conflits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d’intérêts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 (lien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en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anglais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>)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Les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doivent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reconnaître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gramStart"/>
      <w:r w:rsidRPr="008051F8">
        <w:rPr>
          <w:rFonts w:asciiTheme="minorHAnsi" w:hAnsiTheme="minorHAnsi" w:cstheme="minorHAnsi"/>
          <w:spacing w:val="5"/>
          <w:lang w:val="en-CA" w:eastAsia="en-CA"/>
        </w:rPr>
        <w:t>et</w:t>
      </w:r>
      <w:proofErr w:type="gram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gérer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les situations qui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pourraient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entraîner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un </w:t>
      </w:r>
      <w:proofErr w:type="spellStart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>conflit</w:t>
      </w:r>
      <w:proofErr w:type="spellEnd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>d’intérêts</w:t>
      </w:r>
      <w:proofErr w:type="spellEnd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>potentiel</w:t>
      </w:r>
      <w:proofErr w:type="spellEnd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>ou</w:t>
      </w:r>
      <w:proofErr w:type="spellEnd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>perçu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 (lien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en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anglais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>). 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Les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doivent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éviter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toute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situation qui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pourrait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entraîner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gramStart"/>
      <w:r w:rsidRPr="008051F8">
        <w:rPr>
          <w:rFonts w:asciiTheme="minorHAnsi" w:hAnsiTheme="minorHAnsi" w:cstheme="minorHAnsi"/>
          <w:spacing w:val="5"/>
          <w:lang w:val="en-CA" w:eastAsia="en-CA"/>
        </w:rPr>
        <w:t>un</w:t>
      </w:r>
      <w:proofErr w:type="gram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conflit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d’intérêts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,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dans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toute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la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mesure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du possible.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5"/>
          <w:lang w:val="en-CA" w:eastAsia="en-CA"/>
        </w:rPr>
      </w:pP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S’il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est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impossible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d’éviter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un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conflit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d’intérêts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, les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proofErr w:type="gramStart"/>
      <w:r w:rsidRPr="008051F8">
        <w:rPr>
          <w:rFonts w:asciiTheme="minorHAnsi" w:hAnsiTheme="minorHAnsi" w:cstheme="minorHAnsi"/>
          <w:spacing w:val="5"/>
          <w:lang w:val="en-CA" w:eastAsia="en-CA"/>
        </w:rPr>
        <w:t>doivent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> :</w:t>
      </w:r>
      <w:proofErr w:type="gramEnd"/>
    </w:p>
    <w:p w:rsidR="008051F8" w:rsidRPr="008051F8" w:rsidRDefault="008051F8" w:rsidP="008051F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exposer la situation au patient et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en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discuter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avec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lui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avant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fournir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les services;</w:t>
      </w:r>
    </w:p>
    <w:p w:rsidR="008051F8" w:rsidRPr="008051F8" w:rsidRDefault="008051F8" w:rsidP="008051F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informer le patient de solutions de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remplacement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utiles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si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elles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existent;</w:t>
      </w:r>
    </w:p>
    <w:p w:rsidR="008051F8" w:rsidRPr="008051F8" w:rsidRDefault="008051F8" w:rsidP="008051F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Theme="minorHAnsi" w:hAnsiTheme="minorHAnsi" w:cstheme="minorHAnsi"/>
          <w:spacing w:val="5"/>
          <w:lang w:val="en-CA" w:eastAsia="en-CA"/>
        </w:rPr>
      </w:pPr>
      <w:proofErr w:type="gramStart"/>
      <w:r w:rsidRPr="008051F8">
        <w:rPr>
          <w:rFonts w:asciiTheme="minorHAnsi" w:hAnsiTheme="minorHAnsi" w:cstheme="minorHAnsi"/>
          <w:spacing w:val="5"/>
          <w:lang w:val="en-CA" w:eastAsia="en-CA"/>
        </w:rPr>
        <w:t>documenter</w:t>
      </w:r>
      <w:proofErr w:type="gram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la discussion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dans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le dossier du patient.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lang w:val="en-CA" w:eastAsia="en-CA"/>
        </w:rPr>
      </w:pPr>
      <w:r w:rsidRPr="008051F8">
        <w:rPr>
          <w:rFonts w:asciiTheme="minorHAnsi" w:hAnsiTheme="minorHAnsi" w:cstheme="minorHAnsi"/>
          <w:b/>
          <w:lang w:val="en-CA" w:eastAsia="en-CA"/>
        </w:rPr>
        <w:t>2.  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Recommandation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de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produits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ou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services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Les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ne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doivent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pas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recommander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à des </w:t>
      </w:r>
      <w:proofErr w:type="gramStart"/>
      <w:r w:rsidRPr="008051F8">
        <w:rPr>
          <w:rFonts w:asciiTheme="minorHAnsi" w:hAnsiTheme="minorHAnsi" w:cstheme="minorHAnsi"/>
          <w:spacing w:val="5"/>
          <w:lang w:val="en-CA" w:eastAsia="en-CA"/>
        </w:rPr>
        <w:t>patients</w:t>
      </w:r>
      <w:proofErr w:type="gram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produits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ou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des services qui ne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sont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pas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cliniquement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justifiés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>.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Si un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suggère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à un patient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l’achat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d’un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produit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ou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d’un service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dans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lequel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le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ou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> </w:t>
      </w:r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 xml:space="preserve">un </w:t>
      </w:r>
      <w:proofErr w:type="spellStart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>proche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 (lien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en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anglais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) a un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intérêt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financier, le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doit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proofErr w:type="gramStart"/>
      <w:r w:rsidRPr="008051F8">
        <w:rPr>
          <w:rFonts w:asciiTheme="minorHAnsi" w:hAnsiTheme="minorHAnsi" w:cstheme="minorHAnsi"/>
          <w:spacing w:val="5"/>
          <w:lang w:val="en-CA" w:eastAsia="en-CA"/>
        </w:rPr>
        <w:t>alors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> :</w:t>
      </w:r>
      <w:proofErr w:type="gramEnd"/>
    </w:p>
    <w:p w:rsidR="008051F8" w:rsidRPr="008051F8" w:rsidRDefault="008051F8" w:rsidP="008051F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Theme="minorHAnsi" w:hAnsiTheme="minorHAnsi" w:cstheme="minorHAnsi"/>
          <w:spacing w:val="5"/>
          <w:lang w:val="en-CA" w:eastAsia="en-CA"/>
        </w:rPr>
      </w:pP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divulguer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préalablement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au patient la nature de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l’intérêt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financier;</w:t>
      </w:r>
    </w:p>
    <w:p w:rsidR="008051F8" w:rsidRPr="008051F8" w:rsidRDefault="008051F8" w:rsidP="008051F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informer le patient de tout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produit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ou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service de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remplacement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utile;</w:t>
      </w:r>
    </w:p>
    <w:p w:rsidR="008051F8" w:rsidRPr="008051F8" w:rsidRDefault="008051F8" w:rsidP="008051F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assurer le patient que le fait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qu’il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choisisse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un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autre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fournisseur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n’aura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aucun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impact sur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ses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soins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>;</w:t>
      </w:r>
    </w:p>
    <w:p w:rsidR="008051F8" w:rsidRPr="008051F8" w:rsidRDefault="008051F8" w:rsidP="008051F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Theme="minorHAnsi" w:hAnsiTheme="minorHAnsi" w:cstheme="minorHAnsi"/>
          <w:spacing w:val="5"/>
          <w:lang w:val="en-CA" w:eastAsia="en-CA"/>
        </w:rPr>
      </w:pPr>
      <w:proofErr w:type="gramStart"/>
      <w:r w:rsidRPr="008051F8">
        <w:rPr>
          <w:rFonts w:asciiTheme="minorHAnsi" w:hAnsiTheme="minorHAnsi" w:cstheme="minorHAnsi"/>
          <w:spacing w:val="5"/>
          <w:lang w:val="en-CA" w:eastAsia="en-CA"/>
        </w:rPr>
        <w:t>documenter</w:t>
      </w:r>
      <w:proofErr w:type="gram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la discussion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dans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le dossier du patient.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lang w:val="en-CA" w:eastAsia="en-CA"/>
        </w:rPr>
      </w:pPr>
      <w:r w:rsidRPr="008051F8">
        <w:rPr>
          <w:rFonts w:asciiTheme="minorHAnsi" w:hAnsiTheme="minorHAnsi" w:cstheme="minorHAnsi"/>
          <w:b/>
          <w:lang w:val="en-CA" w:eastAsia="en-CA"/>
        </w:rPr>
        <w:t>3.  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Avantages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liés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aux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recommandations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à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d’autres</w:t>
      </w:r>
      <w:proofErr w:type="spellEnd"/>
      <w:r w:rsidRPr="008051F8">
        <w:rPr>
          <w:rFonts w:asciiTheme="minorHAnsi" w:hAnsiTheme="minorHAnsi" w:cstheme="minorHAnsi"/>
          <w:b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lang w:val="en-CA" w:eastAsia="en-CA"/>
        </w:rPr>
        <w:t>professionnels</w:t>
      </w:r>
      <w:proofErr w:type="spellEnd"/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Les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ne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doivent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donner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aucun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> </w:t>
      </w:r>
      <w:proofErr w:type="spellStart"/>
      <w:r w:rsidRPr="008051F8">
        <w:rPr>
          <w:rFonts w:asciiTheme="minorHAnsi" w:hAnsiTheme="minorHAnsi" w:cstheme="minorHAnsi"/>
          <w:b/>
          <w:bCs/>
          <w:spacing w:val="5"/>
          <w:u w:val="single"/>
          <w:lang w:val="en-CA" w:eastAsia="en-CA"/>
        </w:rPr>
        <w:t>avantage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 à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une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autre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personne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proofErr w:type="gramStart"/>
      <w:r w:rsidRPr="008051F8">
        <w:rPr>
          <w:rFonts w:asciiTheme="minorHAnsi" w:hAnsiTheme="minorHAnsi" w:cstheme="minorHAnsi"/>
          <w:spacing w:val="5"/>
          <w:lang w:val="en-CA" w:eastAsia="en-CA"/>
        </w:rPr>
        <w:t>ni</w:t>
      </w:r>
      <w:proofErr w:type="spellEnd"/>
      <w:proofErr w:type="gram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n’en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recevoir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aucun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d’une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autre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personne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pour la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recommandation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d’un patient. 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Les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doivent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recommander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leurs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gramStart"/>
      <w:r w:rsidRPr="008051F8">
        <w:rPr>
          <w:rFonts w:asciiTheme="minorHAnsi" w:hAnsiTheme="minorHAnsi" w:cstheme="minorHAnsi"/>
          <w:spacing w:val="5"/>
          <w:lang w:val="en-CA" w:eastAsia="en-CA"/>
        </w:rPr>
        <w:t>patients</w:t>
      </w:r>
      <w:proofErr w:type="gram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en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fonction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besoins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ceux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-ci.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Lors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d’une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recommandation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, les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physiothérapeutes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doivent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informer le patient des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diverses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possibilités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de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remplacement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utiles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 xml:space="preserve"> qui se </w:t>
      </w:r>
      <w:proofErr w:type="spellStart"/>
      <w:r w:rsidRPr="008051F8">
        <w:rPr>
          <w:rFonts w:asciiTheme="minorHAnsi" w:hAnsiTheme="minorHAnsi" w:cstheme="minorHAnsi"/>
          <w:spacing w:val="5"/>
          <w:lang w:val="en-CA" w:eastAsia="en-CA"/>
        </w:rPr>
        <w:t>présentent</w:t>
      </w:r>
      <w:proofErr w:type="spellEnd"/>
      <w:r w:rsidRPr="008051F8">
        <w:rPr>
          <w:rFonts w:asciiTheme="minorHAnsi" w:hAnsiTheme="minorHAnsi" w:cstheme="minorHAnsi"/>
          <w:spacing w:val="5"/>
          <w:lang w:val="en-CA" w:eastAsia="en-CA"/>
        </w:rPr>
        <w:t>.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1E2430"/>
          <w:spacing w:val="5"/>
          <w:lang w:val="en-CA" w:eastAsia="en-CA"/>
        </w:rPr>
      </w:pPr>
      <w:proofErr w:type="spellStart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lastRenderedPageBreak/>
        <w:t>Approuvé</w:t>
      </w:r>
      <w:proofErr w:type="spellEnd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 xml:space="preserve"> le 22 </w:t>
      </w:r>
      <w:proofErr w:type="spellStart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>juin</w:t>
      </w:r>
      <w:proofErr w:type="spellEnd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 xml:space="preserve"> 2017</w:t>
      </w:r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br/>
        <w:t xml:space="preserve">Date </w:t>
      </w:r>
      <w:proofErr w:type="spellStart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>d’entrée</w:t>
      </w:r>
      <w:proofErr w:type="spellEnd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 xml:space="preserve"> </w:t>
      </w:r>
      <w:proofErr w:type="spellStart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>en</w:t>
      </w:r>
      <w:proofErr w:type="spellEnd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 xml:space="preserve"> </w:t>
      </w:r>
      <w:proofErr w:type="spellStart"/>
      <w:proofErr w:type="gramStart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>vigueur</w:t>
      </w:r>
      <w:proofErr w:type="spellEnd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> :</w:t>
      </w:r>
      <w:proofErr w:type="gramEnd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 xml:space="preserve"> le 1</w:t>
      </w:r>
      <w:r w:rsidRPr="008051F8">
        <w:rPr>
          <w:rFonts w:asciiTheme="minorHAnsi" w:hAnsiTheme="minorHAnsi" w:cstheme="minorHAnsi"/>
          <w:b/>
          <w:bCs/>
          <w:color w:val="1E2430"/>
          <w:spacing w:val="5"/>
          <w:vertAlign w:val="superscript"/>
          <w:lang w:val="en-CA" w:eastAsia="en-CA"/>
        </w:rPr>
        <w:t>er</w:t>
      </w:r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> </w:t>
      </w:r>
      <w:proofErr w:type="spellStart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>août</w:t>
      </w:r>
      <w:proofErr w:type="spellEnd"/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 xml:space="preserve"> 2017</w:t>
      </w:r>
    </w:p>
    <w:p w:rsidR="008051F8" w:rsidRPr="008051F8" w:rsidRDefault="008051F8" w:rsidP="008051F8">
      <w:pPr>
        <w:shd w:val="clear" w:color="auto" w:fill="FFFFFF"/>
        <w:rPr>
          <w:rFonts w:asciiTheme="minorHAnsi" w:hAnsiTheme="minorHAnsi" w:cstheme="minorHAnsi"/>
          <w:color w:val="1E2430"/>
          <w:spacing w:val="5"/>
          <w:lang w:val="en-CA" w:eastAsia="en-CA"/>
        </w:rPr>
      </w:pPr>
      <w:r w:rsidRPr="008051F8">
        <w:rPr>
          <w:rFonts w:asciiTheme="minorHAnsi" w:hAnsiTheme="minorHAnsi" w:cstheme="minorHAnsi"/>
          <w:color w:val="1E2430"/>
          <w:spacing w:val="5"/>
          <w:lang w:val="en-CA" w:eastAsia="en-CA"/>
        </w:rPr>
        <w:br/>
      </w:r>
      <w:r w:rsidRPr="008051F8">
        <w:rPr>
          <w:rFonts w:asciiTheme="minorHAnsi" w:hAnsiTheme="minorHAnsi" w:cstheme="minorHAnsi"/>
          <w:color w:val="1E2430"/>
          <w:spacing w:val="5"/>
          <w:lang w:val="en-CA" w:eastAsia="en-CA"/>
        </w:rPr>
        <w:br/>
      </w:r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>Legislative Reference</w:t>
      </w:r>
    </w:p>
    <w:p w:rsidR="008051F8" w:rsidRPr="008051F8" w:rsidRDefault="008051F8" w:rsidP="008051F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1E2430"/>
          <w:spacing w:val="5"/>
          <w:lang w:val="en-CA" w:eastAsia="en-CA"/>
        </w:rPr>
      </w:pPr>
      <w:hyperlink r:id="rId7" w:tgtFrame="_blank" w:history="1">
        <w:r w:rsidRPr="008051F8">
          <w:rPr>
            <w:rFonts w:asciiTheme="minorHAnsi" w:hAnsiTheme="minorHAnsi" w:cstheme="minorHAnsi"/>
            <w:i/>
            <w:iCs/>
            <w:color w:val="0044CD"/>
            <w:spacing w:val="5"/>
            <w:u w:val="single"/>
            <w:lang w:val="en-CA" w:eastAsia="en-CA"/>
          </w:rPr>
          <w:t>Physiotherapy Act, </w:t>
        </w:r>
        <w:r w:rsidRPr="008051F8">
          <w:rPr>
            <w:rFonts w:asciiTheme="minorHAnsi" w:hAnsiTheme="minorHAnsi" w:cstheme="minorHAnsi"/>
            <w:color w:val="0044CD"/>
            <w:spacing w:val="5"/>
            <w:u w:val="single"/>
            <w:lang w:val="en-CA" w:eastAsia="en-CA"/>
          </w:rPr>
          <w:t>1991</w:t>
        </w:r>
        <w:r w:rsidRPr="008051F8">
          <w:rPr>
            <w:rFonts w:asciiTheme="minorHAnsi" w:hAnsiTheme="minorHAnsi" w:cstheme="minorHAnsi"/>
            <w:i/>
            <w:iCs/>
            <w:color w:val="0044CD"/>
            <w:spacing w:val="5"/>
            <w:u w:val="single"/>
            <w:lang w:val="en-CA" w:eastAsia="en-CA"/>
          </w:rPr>
          <w:t>, </w:t>
        </w:r>
        <w:r w:rsidRPr="008051F8">
          <w:rPr>
            <w:rFonts w:asciiTheme="minorHAnsi" w:hAnsiTheme="minorHAnsi" w:cstheme="minorHAnsi"/>
            <w:color w:val="0044CD"/>
            <w:spacing w:val="5"/>
            <w:u w:val="single"/>
            <w:lang w:val="en-CA" w:eastAsia="en-CA"/>
          </w:rPr>
          <w:t>Professional Misconduct Regulations O. Reg. 388/08, s. 5 and 36Link opens in a new window</w:t>
        </w:r>
      </w:hyperlink>
      <w:r w:rsidRPr="008051F8">
        <w:rPr>
          <w:rFonts w:asciiTheme="minorHAnsi" w:hAnsiTheme="minorHAnsi" w:cstheme="minorHAnsi"/>
          <w:color w:val="1E2430"/>
          <w:spacing w:val="5"/>
          <w:lang w:val="en-CA" w:eastAsia="en-CA"/>
        </w:rPr>
        <w:br/>
      </w:r>
      <w:r w:rsidRPr="008051F8">
        <w:rPr>
          <w:rFonts w:asciiTheme="minorHAnsi" w:hAnsiTheme="minorHAnsi" w:cstheme="minorHAnsi"/>
          <w:color w:val="1E2430"/>
          <w:spacing w:val="5"/>
          <w:lang w:val="en-CA" w:eastAsia="en-CA"/>
        </w:rPr>
        <w:br/>
      </w:r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t>Approved on: June 22, 2017</w:t>
      </w:r>
      <w:r w:rsidRPr="008051F8">
        <w:rPr>
          <w:rFonts w:asciiTheme="minorHAnsi" w:hAnsiTheme="minorHAnsi" w:cstheme="minorHAnsi"/>
          <w:b/>
          <w:bCs/>
          <w:color w:val="1E2430"/>
          <w:spacing w:val="5"/>
          <w:lang w:val="en-CA" w:eastAsia="en-CA"/>
        </w:rPr>
        <w:br/>
        <w:t>Effective date: August 1, 2017</w:t>
      </w:r>
    </w:p>
    <w:p w:rsidR="00507209" w:rsidRPr="008051F8" w:rsidRDefault="00507209" w:rsidP="00507209">
      <w:pPr>
        <w:pStyle w:val="Heading1"/>
        <w:rPr>
          <w:rFonts w:cstheme="minorHAnsi"/>
          <w:b w:val="0"/>
          <w:szCs w:val="24"/>
        </w:rPr>
      </w:pPr>
    </w:p>
    <w:sectPr w:rsidR="00507209" w:rsidRPr="008051F8" w:rsidSect="00B54674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1D" w:rsidRDefault="0012771D" w:rsidP="00B54674">
      <w:r>
        <w:separator/>
      </w:r>
    </w:p>
  </w:endnote>
  <w:endnote w:type="continuationSeparator" w:id="0">
    <w:p w:rsidR="0012771D" w:rsidRDefault="0012771D" w:rsidP="00B5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1D" w:rsidRDefault="0012771D" w:rsidP="00B54674">
      <w:r>
        <w:separator/>
      </w:r>
    </w:p>
  </w:footnote>
  <w:footnote w:type="continuationSeparator" w:id="0">
    <w:p w:rsidR="0012771D" w:rsidRDefault="0012771D" w:rsidP="00B5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15" w:rsidRDefault="00347715">
    <w:pPr>
      <w:pStyle w:val="Header"/>
    </w:pPr>
    <w:r>
      <w:rPr>
        <w:noProof/>
        <w:lang w:val="en-CA" w:eastAsia="en-CA"/>
      </w:rPr>
      <w:drawing>
        <wp:inline distT="0" distB="0" distL="0" distR="0" wp14:anchorId="2B81B75C" wp14:editId="2A640337">
          <wp:extent cx="1502455" cy="5048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O Logo New CMYK 1107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953" cy="5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715" w:rsidRDefault="00347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0A8"/>
    <w:multiLevelType w:val="hybridMultilevel"/>
    <w:tmpl w:val="3FB8E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CE4"/>
    <w:multiLevelType w:val="hybridMultilevel"/>
    <w:tmpl w:val="83D4EFF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6E1"/>
    <w:multiLevelType w:val="multilevel"/>
    <w:tmpl w:val="9AC6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13C4"/>
    <w:multiLevelType w:val="hybridMultilevel"/>
    <w:tmpl w:val="F796C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5409"/>
    <w:multiLevelType w:val="hybridMultilevel"/>
    <w:tmpl w:val="2C1EF2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B5B64"/>
    <w:multiLevelType w:val="multilevel"/>
    <w:tmpl w:val="9536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42807"/>
    <w:multiLevelType w:val="hybridMultilevel"/>
    <w:tmpl w:val="ACFCE304"/>
    <w:lvl w:ilvl="0" w:tplc="265042F6">
      <w:numFmt w:val="bullet"/>
      <w:pStyle w:val="Bullets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5562"/>
    <w:multiLevelType w:val="multilevel"/>
    <w:tmpl w:val="BE2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070DA"/>
    <w:multiLevelType w:val="hybridMultilevel"/>
    <w:tmpl w:val="4CE2E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70BE"/>
    <w:multiLevelType w:val="multilevel"/>
    <w:tmpl w:val="12B0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C36FF"/>
    <w:multiLevelType w:val="hybridMultilevel"/>
    <w:tmpl w:val="09B0F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42870"/>
    <w:multiLevelType w:val="hybridMultilevel"/>
    <w:tmpl w:val="198A459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D4F94"/>
    <w:multiLevelType w:val="hybridMultilevel"/>
    <w:tmpl w:val="433A5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85AFA"/>
    <w:multiLevelType w:val="hybridMultilevel"/>
    <w:tmpl w:val="DF28BBA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A1E40"/>
    <w:multiLevelType w:val="hybridMultilevel"/>
    <w:tmpl w:val="47A8588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951223"/>
    <w:multiLevelType w:val="multilevel"/>
    <w:tmpl w:val="12F2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5"/>
  </w:num>
  <w:num w:numId="14">
    <w:abstractNumId w:val="2"/>
  </w:num>
  <w:num w:numId="15">
    <w:abstractNumId w:val="7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74"/>
    <w:rsid w:val="00010DD1"/>
    <w:rsid w:val="000222E2"/>
    <w:rsid w:val="00054A79"/>
    <w:rsid w:val="0006719D"/>
    <w:rsid w:val="00084FD7"/>
    <w:rsid w:val="000A319E"/>
    <w:rsid w:val="000B1CAC"/>
    <w:rsid w:val="000B57B7"/>
    <w:rsid w:val="000D26B8"/>
    <w:rsid w:val="000D4E40"/>
    <w:rsid w:val="000E033D"/>
    <w:rsid w:val="000E321A"/>
    <w:rsid w:val="0010553E"/>
    <w:rsid w:val="00116A1B"/>
    <w:rsid w:val="0012771D"/>
    <w:rsid w:val="00133AAF"/>
    <w:rsid w:val="00155451"/>
    <w:rsid w:val="001606E5"/>
    <w:rsid w:val="0017510B"/>
    <w:rsid w:val="00190CD6"/>
    <w:rsid w:val="001A10F4"/>
    <w:rsid w:val="001A351C"/>
    <w:rsid w:val="00243074"/>
    <w:rsid w:val="0024557E"/>
    <w:rsid w:val="00270272"/>
    <w:rsid w:val="002723B0"/>
    <w:rsid w:val="00280268"/>
    <w:rsid w:val="0028076E"/>
    <w:rsid w:val="002953A0"/>
    <w:rsid w:val="002B3F51"/>
    <w:rsid w:val="002F19E5"/>
    <w:rsid w:val="00317A10"/>
    <w:rsid w:val="00327F08"/>
    <w:rsid w:val="00330E4C"/>
    <w:rsid w:val="003476FD"/>
    <w:rsid w:val="00347715"/>
    <w:rsid w:val="003B6EB4"/>
    <w:rsid w:val="003C4618"/>
    <w:rsid w:val="003F5F44"/>
    <w:rsid w:val="0042335E"/>
    <w:rsid w:val="00456359"/>
    <w:rsid w:val="0047701F"/>
    <w:rsid w:val="00477A1B"/>
    <w:rsid w:val="004D5099"/>
    <w:rsid w:val="004D644B"/>
    <w:rsid w:val="004E466D"/>
    <w:rsid w:val="00507209"/>
    <w:rsid w:val="005132C8"/>
    <w:rsid w:val="005511D4"/>
    <w:rsid w:val="005756AC"/>
    <w:rsid w:val="005A20B6"/>
    <w:rsid w:val="005A3335"/>
    <w:rsid w:val="005B6668"/>
    <w:rsid w:val="005D1C6A"/>
    <w:rsid w:val="005D2FEA"/>
    <w:rsid w:val="005E69A2"/>
    <w:rsid w:val="005F52CF"/>
    <w:rsid w:val="0060074F"/>
    <w:rsid w:val="00640256"/>
    <w:rsid w:val="00641AC3"/>
    <w:rsid w:val="00661CC8"/>
    <w:rsid w:val="00673607"/>
    <w:rsid w:val="006810F9"/>
    <w:rsid w:val="006831EE"/>
    <w:rsid w:val="006F504F"/>
    <w:rsid w:val="00726AF0"/>
    <w:rsid w:val="00735590"/>
    <w:rsid w:val="00771995"/>
    <w:rsid w:val="007C1795"/>
    <w:rsid w:val="007C520E"/>
    <w:rsid w:val="007E03B5"/>
    <w:rsid w:val="007F23AC"/>
    <w:rsid w:val="00801148"/>
    <w:rsid w:val="00802576"/>
    <w:rsid w:val="008051F8"/>
    <w:rsid w:val="00830016"/>
    <w:rsid w:val="008324A0"/>
    <w:rsid w:val="008330A5"/>
    <w:rsid w:val="00837EEF"/>
    <w:rsid w:val="00844AD1"/>
    <w:rsid w:val="00884389"/>
    <w:rsid w:val="00893E5F"/>
    <w:rsid w:val="008B6B34"/>
    <w:rsid w:val="008E5083"/>
    <w:rsid w:val="008F04A8"/>
    <w:rsid w:val="0090202A"/>
    <w:rsid w:val="0090745F"/>
    <w:rsid w:val="00965D0D"/>
    <w:rsid w:val="00973BC0"/>
    <w:rsid w:val="00980BD8"/>
    <w:rsid w:val="009A4714"/>
    <w:rsid w:val="009A6467"/>
    <w:rsid w:val="009B6A09"/>
    <w:rsid w:val="009C14F6"/>
    <w:rsid w:val="009F0CA0"/>
    <w:rsid w:val="00A42A57"/>
    <w:rsid w:val="00A52977"/>
    <w:rsid w:val="00A7480D"/>
    <w:rsid w:val="00A86E67"/>
    <w:rsid w:val="00A92ADE"/>
    <w:rsid w:val="00AA570F"/>
    <w:rsid w:val="00AE6103"/>
    <w:rsid w:val="00B14035"/>
    <w:rsid w:val="00B2489D"/>
    <w:rsid w:val="00B24A30"/>
    <w:rsid w:val="00B33A5F"/>
    <w:rsid w:val="00B441A8"/>
    <w:rsid w:val="00B53AFD"/>
    <w:rsid w:val="00B54674"/>
    <w:rsid w:val="00B8625D"/>
    <w:rsid w:val="00BA5DE5"/>
    <w:rsid w:val="00BB3FB7"/>
    <w:rsid w:val="00BC0A7E"/>
    <w:rsid w:val="00BC1427"/>
    <w:rsid w:val="00BC250B"/>
    <w:rsid w:val="00BE58C0"/>
    <w:rsid w:val="00C11992"/>
    <w:rsid w:val="00C1309D"/>
    <w:rsid w:val="00C56381"/>
    <w:rsid w:val="00CA5BDD"/>
    <w:rsid w:val="00CC58E2"/>
    <w:rsid w:val="00D0684C"/>
    <w:rsid w:val="00D10C1B"/>
    <w:rsid w:val="00D14BD1"/>
    <w:rsid w:val="00D17FCC"/>
    <w:rsid w:val="00D22AB6"/>
    <w:rsid w:val="00D44D32"/>
    <w:rsid w:val="00D5042B"/>
    <w:rsid w:val="00D5695E"/>
    <w:rsid w:val="00D7476C"/>
    <w:rsid w:val="00D80EF1"/>
    <w:rsid w:val="00DA668C"/>
    <w:rsid w:val="00DB0292"/>
    <w:rsid w:val="00DE0692"/>
    <w:rsid w:val="00DF7B05"/>
    <w:rsid w:val="00E13DEF"/>
    <w:rsid w:val="00E41FD5"/>
    <w:rsid w:val="00E42115"/>
    <w:rsid w:val="00E629AC"/>
    <w:rsid w:val="00E72D24"/>
    <w:rsid w:val="00E92F38"/>
    <w:rsid w:val="00EB2E3B"/>
    <w:rsid w:val="00F129EC"/>
    <w:rsid w:val="00F227D2"/>
    <w:rsid w:val="00F37FA2"/>
    <w:rsid w:val="00F4032E"/>
    <w:rsid w:val="00F44B19"/>
    <w:rsid w:val="00F57932"/>
    <w:rsid w:val="00F63B93"/>
    <w:rsid w:val="00FA1533"/>
    <w:rsid w:val="00FB5060"/>
    <w:rsid w:val="00FB572A"/>
    <w:rsid w:val="00FC7AA1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3D2EA-A6FE-447D-ABC7-85FF6BE1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"/>
    <w:link w:val="Heading1Char"/>
    <w:uiPriority w:val="9"/>
    <w:qFormat/>
    <w:rsid w:val="00507209"/>
    <w:pPr>
      <w:keepNext/>
      <w:keepLines/>
      <w:spacing w:after="12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2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674"/>
    <w:pPr>
      <w:ind w:left="720"/>
      <w:contextualSpacing/>
    </w:pPr>
    <w:rPr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B5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6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B546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3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gc">
    <w:name w:val="_tgc"/>
    <w:basedOn w:val="DefaultParagraphFont"/>
    <w:rsid w:val="00B53AFD"/>
  </w:style>
  <w:style w:type="paragraph" w:customStyle="1" w:styleId="Body">
    <w:name w:val="Body"/>
    <w:basedOn w:val="ListParagraph"/>
    <w:qFormat/>
    <w:rsid w:val="00AA570F"/>
    <w:pPr>
      <w:autoSpaceDE w:val="0"/>
      <w:autoSpaceDN w:val="0"/>
      <w:adjustRightInd w:val="0"/>
      <w:spacing w:after="120"/>
      <w:ind w:left="0"/>
    </w:pPr>
    <w:rPr>
      <w:rFonts w:asciiTheme="minorHAnsi" w:hAnsiTheme="minorHAnsi" w:cs="Arial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7209"/>
    <w:rPr>
      <w:rFonts w:eastAsiaTheme="majorEastAsia" w:cstheme="majorBidi"/>
      <w:b/>
      <w:bCs/>
      <w:sz w:val="24"/>
      <w:szCs w:val="28"/>
      <w:lang w:val="en-US"/>
    </w:rPr>
  </w:style>
  <w:style w:type="paragraph" w:customStyle="1" w:styleId="Bullets">
    <w:name w:val="Bullets"/>
    <w:basedOn w:val="Body"/>
    <w:qFormat/>
    <w:rsid w:val="00B14035"/>
    <w:pPr>
      <w:numPr>
        <w:numId w:val="1"/>
      </w:numPr>
      <w:ind w:left="714" w:hanging="357"/>
      <w:contextualSpacing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5D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035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035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C6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7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8625D"/>
    <w:pPr>
      <w:spacing w:before="100" w:beforeAutospacing="1" w:after="100" w:afterAutospacing="1"/>
    </w:pPr>
    <w:rPr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2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B86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ntario.ca/laws/regulation/080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Physiotherapists of Ontario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Hamilton</dc:creator>
  <cp:lastModifiedBy>Tova Wallace</cp:lastModifiedBy>
  <cp:revision>2</cp:revision>
  <cp:lastPrinted>2016-05-24T18:01:00Z</cp:lastPrinted>
  <dcterms:created xsi:type="dcterms:W3CDTF">2017-08-24T19:52:00Z</dcterms:created>
  <dcterms:modified xsi:type="dcterms:W3CDTF">2017-08-24T19:52:00Z</dcterms:modified>
</cp:coreProperties>
</file>