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29AC" w:rsidRPr="00E629AC" w:rsidRDefault="00E629AC" w:rsidP="00E629AC">
      <w:pPr>
        <w:pStyle w:val="Body"/>
        <w:rPr>
          <w:lang w:val="fr-FR"/>
        </w:rPr>
      </w:pPr>
    </w:p>
    <w:p w:rsidR="00D46C45" w:rsidRDefault="007C520E" w:rsidP="00D46C45">
      <w:pPr>
        <w:pStyle w:val="Heading1"/>
        <w:jc w:val="center"/>
        <w:rPr>
          <w:color w:val="31849B"/>
          <w:sz w:val="36"/>
          <w:szCs w:val="32"/>
          <w:lang w:val="fr-FR"/>
        </w:rPr>
      </w:pPr>
      <w:bookmarkStart w:id="0" w:name="_GoBack"/>
      <w:r>
        <w:rPr>
          <w:color w:val="31849B"/>
          <w:sz w:val="36"/>
          <w:lang w:val="fr-FR"/>
        </w:rPr>
        <w:t>Norme sur les limites professionnelles et les abus sexuels</w:t>
      </w:r>
    </w:p>
    <w:bookmarkEnd w:id="0"/>
    <w:p w:rsidR="00B2552A" w:rsidRPr="00B2552A" w:rsidRDefault="00B2552A" w:rsidP="00B2552A">
      <w:pPr>
        <w:pStyle w:val="Body"/>
        <w:rPr>
          <w:lang w:val="fr-FR"/>
        </w:rPr>
      </w:pPr>
    </w:p>
    <w:p w:rsidR="00507209" w:rsidRPr="009657F7" w:rsidRDefault="007C520E" w:rsidP="00507209">
      <w:pPr>
        <w:pStyle w:val="Heading1"/>
        <w:rPr>
          <w:lang w:val="fr-CA"/>
        </w:rPr>
      </w:pPr>
      <w:r>
        <w:rPr>
          <w:lang w:val="fr-FR"/>
        </w:rPr>
        <w:t>1. Pouvoirs et responsabilités</w:t>
      </w:r>
    </w:p>
    <w:p w:rsidR="00B8625D" w:rsidRPr="009657F7" w:rsidRDefault="007C520E" w:rsidP="00B8625D">
      <w:pPr>
        <w:pStyle w:val="Body"/>
        <w:rPr>
          <w:lang w:val="fr-CA"/>
        </w:rPr>
      </w:pPr>
      <w:r>
        <w:rPr>
          <w:lang w:val="fr-FR"/>
        </w:rPr>
        <w:t>Les physiothérapeutes doivent maintenir des limites professionnelles avec leurs patients en tout temps  et ils se doivent de ne pas les agresser sexuellement.</w:t>
      </w:r>
    </w:p>
    <w:p w:rsidR="007C520E" w:rsidRPr="009657F7" w:rsidRDefault="007C520E" w:rsidP="00B8625D">
      <w:pPr>
        <w:pStyle w:val="Body"/>
        <w:rPr>
          <w:lang w:val="fr-CA"/>
        </w:rPr>
      </w:pPr>
    </w:p>
    <w:p w:rsidR="0006719D" w:rsidRPr="009657F7" w:rsidRDefault="007C520E" w:rsidP="0006719D">
      <w:pPr>
        <w:pStyle w:val="Heading1"/>
        <w:rPr>
          <w:lang w:val="fr-CA"/>
        </w:rPr>
      </w:pPr>
      <w:r>
        <w:rPr>
          <w:lang w:val="fr-FR"/>
        </w:rPr>
        <w:t>2. Respect des limites professionnelles</w:t>
      </w:r>
    </w:p>
    <w:p w:rsidR="007C520E" w:rsidRPr="007C520E" w:rsidRDefault="007C520E" w:rsidP="007C520E">
      <w:pPr>
        <w:pStyle w:val="Heading1"/>
        <w:rPr>
          <w:b w:val="0"/>
          <w:lang w:val="fr-FR"/>
        </w:rPr>
      </w:pPr>
      <w:r>
        <w:rPr>
          <w:b w:val="0"/>
          <w:lang w:val="fr-FR"/>
        </w:rPr>
        <w:t>Les limites professionnelles dans les soins aux patients sont les limites physiques et affectives qui doivent marquer la relation thérapeutique entre le patient et le physiothérapeute. La responsabilité du physiothérapeute est d’agir en tout temps dans l’intérêt supérieur du patient et de respecter les limites de la relation thérapeutique.</w:t>
      </w:r>
    </w:p>
    <w:p w:rsidR="007C520E" w:rsidRPr="007C520E" w:rsidRDefault="007C520E" w:rsidP="007C520E">
      <w:pPr>
        <w:pStyle w:val="Heading1"/>
        <w:rPr>
          <w:b w:val="0"/>
          <w:lang w:val="fr-FR"/>
        </w:rPr>
      </w:pPr>
      <w:r>
        <w:rPr>
          <w:b w:val="0"/>
          <w:lang w:val="fr-FR"/>
        </w:rPr>
        <w:t>Afin de respecter les limites de la relation thérapeutique, le physiothérapeute doit :</w:t>
      </w:r>
    </w:p>
    <w:p w:rsidR="007C520E" w:rsidRPr="007C520E" w:rsidRDefault="007C520E" w:rsidP="007C520E">
      <w:pPr>
        <w:pStyle w:val="Heading1"/>
        <w:numPr>
          <w:ilvl w:val="0"/>
          <w:numId w:val="43"/>
        </w:numPr>
        <w:rPr>
          <w:b w:val="0"/>
          <w:lang w:val="fr-FR"/>
        </w:rPr>
      </w:pPr>
      <w:proofErr w:type="gramStart"/>
      <w:r>
        <w:rPr>
          <w:b w:val="0"/>
          <w:lang w:val="fr-FR"/>
        </w:rPr>
        <w:t>reconnaître</w:t>
      </w:r>
      <w:proofErr w:type="gramEnd"/>
      <w:r>
        <w:rPr>
          <w:b w:val="0"/>
          <w:lang w:val="fr-FR"/>
        </w:rPr>
        <w:t xml:space="preserve"> que les limites de chaque patient sont différentes en raison de ses expériences personnelles, de sa culture, de son âge, de ses valeurs et de ses antécédents en matière de traumatisme;</w:t>
      </w:r>
    </w:p>
    <w:p w:rsidR="007C520E" w:rsidRPr="007C520E" w:rsidRDefault="007C520E" w:rsidP="007C520E">
      <w:pPr>
        <w:pStyle w:val="Heading1"/>
        <w:numPr>
          <w:ilvl w:val="0"/>
          <w:numId w:val="43"/>
        </w:numPr>
        <w:rPr>
          <w:b w:val="0"/>
          <w:lang w:val="fr-FR"/>
        </w:rPr>
      </w:pPr>
      <w:proofErr w:type="gramStart"/>
      <w:r>
        <w:rPr>
          <w:b w:val="0"/>
          <w:lang w:val="fr-FR"/>
        </w:rPr>
        <w:t>tenir</w:t>
      </w:r>
      <w:proofErr w:type="gramEnd"/>
      <w:r>
        <w:rPr>
          <w:b w:val="0"/>
          <w:lang w:val="fr-FR"/>
        </w:rPr>
        <w:t xml:space="preserve"> compte du lieu de travail, en particulier lorsqu’il fournit des soins dans un environnement informel comme le domicile du patient;</w:t>
      </w:r>
    </w:p>
    <w:p w:rsidR="007C520E" w:rsidRPr="007C520E" w:rsidRDefault="007C520E" w:rsidP="007C520E">
      <w:pPr>
        <w:pStyle w:val="Heading1"/>
        <w:numPr>
          <w:ilvl w:val="0"/>
          <w:numId w:val="44"/>
        </w:numPr>
        <w:rPr>
          <w:b w:val="0"/>
          <w:lang w:val="fr-FR"/>
        </w:rPr>
      </w:pPr>
      <w:proofErr w:type="gramStart"/>
      <w:r>
        <w:rPr>
          <w:b w:val="0"/>
          <w:lang w:val="fr-FR"/>
        </w:rPr>
        <w:t>réagir</w:t>
      </w:r>
      <w:proofErr w:type="gramEnd"/>
      <w:r>
        <w:rPr>
          <w:b w:val="0"/>
          <w:lang w:val="fr-FR"/>
        </w:rPr>
        <w:t xml:space="preserve"> de façon appropriée lorsque survient une entorse aux limites professionnelles. Cela comprend le fait d’identifier l’entorse, de corriger le comportement inapproprié et de consigner dans le dossier du patient les mesures prises pour y remédier.</w:t>
      </w:r>
    </w:p>
    <w:p w:rsidR="0006719D" w:rsidRDefault="007C520E" w:rsidP="00661CC8">
      <w:pPr>
        <w:pStyle w:val="Heading1"/>
        <w:rPr>
          <w:b w:val="0"/>
          <w:lang w:val="fr-FR"/>
        </w:rPr>
      </w:pPr>
      <w:r>
        <w:rPr>
          <w:b w:val="0"/>
          <w:lang w:val="fr-FR"/>
        </w:rPr>
        <w:t>Les quelques exemples suivants évoquent des situations qui posent un risque d’entorse aux limites professionnelles : la divulgation de renseignements personnels par le physiothérapeute, donner ou recevoir des cadeaux, se livrer à des activités commerciales ou de loisirs avec un patient et, le plus souvent, le fait d’émettre des commentaires, de dire des mots ou de faire des gestes qui ne sont pas directement liés aux soins cliniques.  </w:t>
      </w:r>
    </w:p>
    <w:p w:rsidR="007C520E" w:rsidRPr="009657F7" w:rsidRDefault="007C520E" w:rsidP="007C520E">
      <w:pPr>
        <w:pStyle w:val="Body"/>
        <w:rPr>
          <w:lang w:val="fr-CA"/>
        </w:rPr>
      </w:pPr>
    </w:p>
    <w:p w:rsidR="00661CC8" w:rsidRPr="009657F7" w:rsidRDefault="0006719D" w:rsidP="00661CC8">
      <w:pPr>
        <w:pStyle w:val="Heading1"/>
        <w:rPr>
          <w:lang w:val="fr-CA"/>
        </w:rPr>
      </w:pPr>
      <w:r>
        <w:rPr>
          <w:lang w:val="fr-FR"/>
        </w:rPr>
        <w:t>3. Restrictions pour le respect des limites professionnelles</w:t>
      </w:r>
    </w:p>
    <w:p w:rsidR="007C520E" w:rsidRPr="007C520E" w:rsidRDefault="007C520E" w:rsidP="007C520E">
      <w:pPr>
        <w:pStyle w:val="NormalWeb"/>
        <w:rPr>
          <w:rFonts w:asciiTheme="minorHAnsi" w:hAnsiTheme="minorHAnsi" w:cstheme="minorHAnsi"/>
          <w:color w:val="1E2430"/>
          <w:spacing w:val="5"/>
          <w:lang w:val="fr-FR"/>
        </w:rPr>
      </w:pPr>
      <w:r>
        <w:rPr>
          <w:rFonts w:asciiTheme="minorHAnsi" w:hAnsiTheme="minorHAnsi" w:cstheme="minorHAnsi"/>
          <w:color w:val="1E2430"/>
          <w:spacing w:val="5"/>
          <w:lang w:val="fr-FR"/>
        </w:rPr>
        <w:t>Lorsqu’une relation étroite ou intime existe entre le physiothérapeute et le patient en raison de l’intensité du lien affectif ou autre qui les unit, cette relation peut entraver le jugement professionnel du physiothérapeute.</w:t>
      </w:r>
    </w:p>
    <w:p w:rsidR="007C520E" w:rsidRPr="00D46C45" w:rsidRDefault="007C520E" w:rsidP="007C520E">
      <w:pPr>
        <w:pStyle w:val="NormalWeb"/>
        <w:numPr>
          <w:ilvl w:val="0"/>
          <w:numId w:val="45"/>
        </w:numPr>
        <w:rPr>
          <w:rFonts w:asciiTheme="minorHAnsi" w:hAnsiTheme="minorHAnsi" w:cstheme="minorHAnsi"/>
          <w:color w:val="1E2430"/>
          <w:spacing w:val="5"/>
          <w:lang w:val="fr-FR"/>
        </w:rPr>
      </w:pPr>
      <w:r>
        <w:rPr>
          <w:rFonts w:asciiTheme="minorHAnsi" w:hAnsiTheme="minorHAnsi" w:cstheme="minorHAnsi"/>
          <w:color w:val="1E2430"/>
          <w:spacing w:val="5"/>
          <w:lang w:val="fr-FR"/>
        </w:rPr>
        <w:t>les physiothérapeutes ne peuvent pas avoir de relation intime ou romantique avec leurs patients, ni avec les proches ou les personnes de confiance de leurs patients;</w:t>
      </w:r>
    </w:p>
    <w:p w:rsidR="007C520E" w:rsidRDefault="007C520E" w:rsidP="007C520E">
      <w:pPr>
        <w:pStyle w:val="NormalWeb"/>
        <w:numPr>
          <w:ilvl w:val="0"/>
          <w:numId w:val="45"/>
        </w:numPr>
        <w:rPr>
          <w:rFonts w:asciiTheme="minorHAnsi" w:hAnsiTheme="minorHAnsi" w:cstheme="minorHAnsi"/>
          <w:color w:val="1E2430"/>
          <w:spacing w:val="5"/>
          <w:lang w:val="fr-FR"/>
        </w:rPr>
      </w:pPr>
      <w:r>
        <w:rPr>
          <w:rFonts w:asciiTheme="minorHAnsi" w:hAnsiTheme="minorHAnsi" w:cstheme="minorHAnsi"/>
          <w:color w:val="1E2430"/>
          <w:spacing w:val="5"/>
          <w:lang w:val="fr-FR"/>
        </w:rPr>
        <w:t>les physiothérapeutes ne peuvent pas traiter leurs proches ni ceux avec qui ils ont une relation étroite ou intime, sauf en cas d’urgence, auquel cas aucuns frais ne peuvent être facturés;</w:t>
      </w:r>
    </w:p>
    <w:p w:rsidR="007C520E" w:rsidRPr="007C520E" w:rsidRDefault="007C520E" w:rsidP="007C520E">
      <w:pPr>
        <w:pStyle w:val="NormalWeb"/>
        <w:rPr>
          <w:rFonts w:asciiTheme="minorHAnsi" w:hAnsiTheme="minorHAnsi" w:cstheme="minorHAnsi"/>
          <w:color w:val="1E2430"/>
          <w:spacing w:val="5"/>
          <w:lang w:val="fr-FR"/>
        </w:rPr>
      </w:pPr>
    </w:p>
    <w:p w:rsidR="007C520E" w:rsidRPr="007C520E" w:rsidRDefault="007C520E" w:rsidP="007C520E">
      <w:pPr>
        <w:pStyle w:val="NormalWeb"/>
        <w:numPr>
          <w:ilvl w:val="0"/>
          <w:numId w:val="45"/>
        </w:numPr>
        <w:rPr>
          <w:rFonts w:asciiTheme="minorHAnsi" w:hAnsiTheme="minorHAnsi" w:cstheme="minorHAnsi"/>
          <w:color w:val="1E2430"/>
          <w:spacing w:val="5"/>
          <w:lang w:val="fr-FR"/>
        </w:rPr>
      </w:pPr>
      <w:r>
        <w:rPr>
          <w:rFonts w:asciiTheme="minorHAnsi" w:hAnsiTheme="minorHAnsi" w:cstheme="minorHAnsi"/>
          <w:color w:val="1E2430"/>
          <w:spacing w:val="5"/>
          <w:lang w:val="fr-FR"/>
        </w:rPr>
        <w:t>les physiothérapeutes ne peuvent pas avoir de relation intime ou romantique avec d’anciens patients, sauf dans les cas suivants :</w:t>
      </w:r>
    </w:p>
    <w:p w:rsidR="007C520E" w:rsidRPr="007C520E" w:rsidRDefault="007C520E" w:rsidP="007C520E">
      <w:pPr>
        <w:pStyle w:val="NormalWeb"/>
        <w:numPr>
          <w:ilvl w:val="1"/>
          <w:numId w:val="45"/>
        </w:numPr>
        <w:rPr>
          <w:rFonts w:asciiTheme="minorHAnsi" w:hAnsiTheme="minorHAnsi" w:cstheme="minorHAnsi"/>
          <w:color w:val="1E2430"/>
          <w:spacing w:val="5"/>
          <w:lang w:val="fr-FR"/>
        </w:rPr>
      </w:pPr>
      <w:r>
        <w:rPr>
          <w:rFonts w:asciiTheme="minorHAnsi" w:hAnsiTheme="minorHAnsi" w:cstheme="minorHAnsi"/>
          <w:color w:val="1E2430"/>
          <w:spacing w:val="5"/>
          <w:lang w:val="fr-FR"/>
        </w:rPr>
        <w:t>au moins un an s’est écoulé depuis que le patient a terminé ses soins de physiothérapie;</w:t>
      </w:r>
    </w:p>
    <w:p w:rsidR="007C520E" w:rsidRPr="007C520E" w:rsidRDefault="007C520E" w:rsidP="007C520E">
      <w:pPr>
        <w:pStyle w:val="NormalWeb"/>
        <w:numPr>
          <w:ilvl w:val="1"/>
          <w:numId w:val="45"/>
        </w:numPr>
        <w:rPr>
          <w:rFonts w:asciiTheme="minorHAnsi" w:hAnsiTheme="minorHAnsi" w:cstheme="minorHAnsi"/>
          <w:color w:val="1E2430"/>
          <w:spacing w:val="5"/>
          <w:lang w:val="fr-FR"/>
        </w:rPr>
      </w:pPr>
      <w:r>
        <w:rPr>
          <w:rFonts w:asciiTheme="minorHAnsi" w:hAnsiTheme="minorHAnsi" w:cstheme="minorHAnsi"/>
          <w:color w:val="1E2430"/>
          <w:spacing w:val="5"/>
          <w:lang w:val="fr-FR"/>
        </w:rPr>
        <w:t>le déséquilibre de pouvoir inhérent à la relation thérapeutique entre le physiothérapeute et le patient n’existe plus;</w:t>
      </w:r>
    </w:p>
    <w:p w:rsidR="00B8625D" w:rsidRPr="0020748E" w:rsidRDefault="007C520E" w:rsidP="0020748E">
      <w:pPr>
        <w:pStyle w:val="NormalWeb"/>
        <w:numPr>
          <w:ilvl w:val="1"/>
          <w:numId w:val="45"/>
        </w:numPr>
        <w:rPr>
          <w:rFonts w:asciiTheme="minorHAnsi" w:hAnsiTheme="minorHAnsi" w:cstheme="minorHAnsi"/>
          <w:color w:val="1E2430"/>
          <w:spacing w:val="5"/>
          <w:lang w:val="fr-FR"/>
        </w:rPr>
      </w:pPr>
      <w:r>
        <w:rPr>
          <w:rFonts w:asciiTheme="minorHAnsi" w:hAnsiTheme="minorHAnsi" w:cstheme="minorHAnsi"/>
          <w:color w:val="1E2430"/>
          <w:spacing w:val="5"/>
          <w:lang w:val="fr-FR"/>
        </w:rPr>
        <w:t>le patient n’est plus dépendant du physiothérapeute. </w:t>
      </w:r>
    </w:p>
    <w:p w:rsidR="00B8625D" w:rsidRDefault="00116A1B" w:rsidP="00B8625D">
      <w:pPr>
        <w:pStyle w:val="Body"/>
        <w:rPr>
          <w:b/>
          <w:lang w:val="fr-FR"/>
        </w:rPr>
      </w:pPr>
      <w:r>
        <w:rPr>
          <w:rFonts w:eastAsiaTheme="majorEastAsia" w:cstheme="majorBidi"/>
          <w:b/>
          <w:color w:val="auto"/>
          <w:lang w:val="fr-FR"/>
        </w:rPr>
        <w:t xml:space="preserve">4. </w:t>
      </w:r>
      <w:r w:rsidRPr="00116A1B">
        <w:rPr>
          <w:b/>
          <w:lang w:val="fr-FR"/>
        </w:rPr>
        <w:t>Abus sexuels</w:t>
      </w:r>
    </w:p>
    <w:p w:rsidR="00A7480D" w:rsidRPr="009657F7" w:rsidRDefault="00A7480D" w:rsidP="00A7480D">
      <w:pPr>
        <w:pStyle w:val="Body"/>
        <w:rPr>
          <w:lang w:val="fr-CA"/>
        </w:rPr>
      </w:pPr>
      <w:r>
        <w:rPr>
          <w:lang w:val="fr-FR"/>
        </w:rPr>
        <w:t>L’abus sexuel d’un client par un membre s’entend :</w:t>
      </w:r>
    </w:p>
    <w:p w:rsidR="00A7480D" w:rsidRPr="009657F7" w:rsidRDefault="00A7480D" w:rsidP="00A7480D">
      <w:pPr>
        <w:pStyle w:val="Body"/>
        <w:rPr>
          <w:lang w:val="fr-CA"/>
        </w:rPr>
      </w:pPr>
    </w:p>
    <w:p w:rsidR="00A7480D" w:rsidRPr="009657F7" w:rsidRDefault="00A7480D" w:rsidP="00A7480D">
      <w:pPr>
        <w:pStyle w:val="Body"/>
        <w:rPr>
          <w:lang w:val="fr-CA"/>
        </w:rPr>
      </w:pPr>
      <w:r>
        <w:rPr>
          <w:lang w:val="fr-FR"/>
        </w:rPr>
        <w:t>a) de rapports sexuels ou d’autres formes de rapports physiques d’ordre sexuel entre le membre et le patient;</w:t>
      </w:r>
    </w:p>
    <w:p w:rsidR="00A7480D" w:rsidRPr="009657F7" w:rsidRDefault="00A7480D" w:rsidP="00A7480D">
      <w:pPr>
        <w:pStyle w:val="Body"/>
        <w:rPr>
          <w:lang w:val="fr-CA"/>
        </w:rPr>
      </w:pPr>
    </w:p>
    <w:p w:rsidR="00A7480D" w:rsidRPr="009657F7" w:rsidRDefault="00A7480D" w:rsidP="00A7480D">
      <w:pPr>
        <w:pStyle w:val="Body"/>
        <w:rPr>
          <w:lang w:val="fr-CA"/>
        </w:rPr>
      </w:pPr>
      <w:r>
        <w:rPr>
          <w:lang w:val="fr-FR"/>
        </w:rPr>
        <w:t>b) d’attouchements de nature sexuelle pratiqués par le membre sur la personne du patient;</w:t>
      </w:r>
    </w:p>
    <w:p w:rsidR="00A7480D" w:rsidRPr="009657F7" w:rsidRDefault="00A7480D" w:rsidP="00A7480D">
      <w:pPr>
        <w:pStyle w:val="Body"/>
        <w:rPr>
          <w:lang w:val="fr-CA"/>
        </w:rPr>
      </w:pPr>
    </w:p>
    <w:p w:rsidR="00A7480D" w:rsidRPr="009657F7" w:rsidRDefault="00A7480D" w:rsidP="00A7480D">
      <w:pPr>
        <w:pStyle w:val="Body"/>
        <w:rPr>
          <w:lang w:val="fr-CA"/>
        </w:rPr>
      </w:pPr>
      <w:r>
        <w:rPr>
          <w:lang w:val="fr-FR"/>
        </w:rPr>
        <w:t>c) de comportements ou de remarques de nature sexuelle de la part du membre à l’endroit du patient.</w:t>
      </w:r>
    </w:p>
    <w:p w:rsidR="00A7480D" w:rsidRPr="009657F7" w:rsidRDefault="00A7480D" w:rsidP="00A7480D">
      <w:pPr>
        <w:pStyle w:val="Body"/>
        <w:rPr>
          <w:lang w:val="fr-CA"/>
        </w:rPr>
      </w:pPr>
    </w:p>
    <w:p w:rsidR="00A7480D" w:rsidRPr="009657F7" w:rsidRDefault="00A7480D" w:rsidP="00A7480D">
      <w:pPr>
        <w:pStyle w:val="Body"/>
        <w:rPr>
          <w:lang w:val="fr-CA"/>
        </w:rPr>
      </w:pPr>
      <w:r>
        <w:rPr>
          <w:lang w:val="fr-FR"/>
        </w:rPr>
        <w:t>À ces fins, l’expression « de nature sexuelle » exclut les contacts physiques, les comportements ou les remarques de nature clinique que justifie le service fourni.</w:t>
      </w:r>
    </w:p>
    <w:p w:rsidR="00A7480D" w:rsidRPr="009657F7" w:rsidRDefault="00A7480D" w:rsidP="00A7480D">
      <w:pPr>
        <w:pStyle w:val="Body"/>
        <w:rPr>
          <w:lang w:val="fr-CA"/>
        </w:rPr>
      </w:pPr>
    </w:p>
    <w:p w:rsidR="00A7480D" w:rsidRPr="00A7480D" w:rsidRDefault="00A7480D" w:rsidP="00A7480D">
      <w:pPr>
        <w:pStyle w:val="Body"/>
        <w:rPr>
          <w:b/>
          <w:lang w:val="fr-FR"/>
        </w:rPr>
      </w:pPr>
      <w:r>
        <w:rPr>
          <w:b/>
          <w:lang w:val="fr-FR"/>
        </w:rPr>
        <w:t>5. Obligation de signalement des abus sexuels</w:t>
      </w:r>
    </w:p>
    <w:p w:rsidR="00A7480D" w:rsidRPr="009657F7" w:rsidRDefault="00A7480D" w:rsidP="00A7480D">
      <w:pPr>
        <w:pStyle w:val="Body"/>
        <w:rPr>
          <w:lang w:val="fr-CA"/>
        </w:rPr>
      </w:pPr>
    </w:p>
    <w:p w:rsidR="00A7480D" w:rsidRPr="009657F7" w:rsidRDefault="00A7480D" w:rsidP="00A7480D">
      <w:pPr>
        <w:pStyle w:val="Body"/>
        <w:rPr>
          <w:lang w:val="fr-CA"/>
        </w:rPr>
      </w:pPr>
      <w:r>
        <w:rPr>
          <w:lang w:val="fr-FR"/>
        </w:rPr>
        <w:t>Si un physiothérapeute apprend qu’un professionnel de la santé réglementé a agressé sexuellement un patient, il doit le signaler à l’ordre professionnel dont est membre l’autre professionnel de la santé. Le fait d’omettre de le faire peut entraîner l’imposition de mesures disciplinaires par l’Ordre des physiothérapeutes.</w:t>
      </w:r>
    </w:p>
    <w:p w:rsidR="00A7480D" w:rsidRPr="009657F7" w:rsidRDefault="00A7480D" w:rsidP="00A7480D">
      <w:pPr>
        <w:pStyle w:val="Body"/>
        <w:rPr>
          <w:lang w:val="fr-CA"/>
        </w:rPr>
      </w:pPr>
    </w:p>
    <w:p w:rsidR="00A7480D" w:rsidRPr="00D46C45" w:rsidRDefault="00D46C45" w:rsidP="00B8625D">
      <w:pPr>
        <w:pStyle w:val="Body"/>
        <w:rPr>
          <w:b/>
          <w:sz w:val="28"/>
          <w:lang w:val="fr-FR"/>
        </w:rPr>
      </w:pPr>
      <w:r>
        <w:rPr>
          <w:b/>
          <w:sz w:val="28"/>
          <w:lang w:val="fr-FR"/>
        </w:rPr>
        <w:t>Glossaire</w:t>
      </w:r>
    </w:p>
    <w:p w:rsidR="00D46C45" w:rsidRDefault="00D46C45" w:rsidP="00D46C45">
      <w:pPr>
        <w:pStyle w:val="Body"/>
        <w:rPr>
          <w:b/>
          <w:i/>
          <w:lang w:val="fr-FR"/>
        </w:rPr>
      </w:pPr>
      <w:r>
        <w:rPr>
          <w:b/>
          <w:i/>
          <w:lang w:val="fr-FR"/>
        </w:rPr>
        <w:t>Proches :</w:t>
      </w:r>
    </w:p>
    <w:p w:rsidR="00D46C45" w:rsidRPr="0071481D" w:rsidRDefault="00D46C45" w:rsidP="00D46C45">
      <w:pPr>
        <w:pStyle w:val="Body"/>
        <w:rPr>
          <w:b/>
          <w:i/>
          <w:lang w:val="fr-FR"/>
        </w:rPr>
      </w:pPr>
      <w:r>
        <w:rPr>
          <w:lang w:val="fr-FR"/>
        </w:rPr>
        <w:t>Un proche est une personne qui est unie à l’intéressé de l’une des manières suivantes :</w:t>
      </w:r>
    </w:p>
    <w:p w:rsidR="00D46C45" w:rsidRPr="009657F7" w:rsidRDefault="00D46C45" w:rsidP="00D46C45">
      <w:pPr>
        <w:pStyle w:val="Body"/>
        <w:numPr>
          <w:ilvl w:val="0"/>
          <w:numId w:val="46"/>
        </w:numPr>
        <w:rPr>
          <w:lang w:val="fr-CA"/>
        </w:rPr>
      </w:pPr>
      <w:r>
        <w:rPr>
          <w:lang w:val="fr-FR"/>
        </w:rPr>
        <w:t>conjoint(e) ou conjoint(e) de fait;*</w:t>
      </w:r>
    </w:p>
    <w:p w:rsidR="00D46C45" w:rsidRDefault="00D46C45" w:rsidP="00D46C45">
      <w:pPr>
        <w:pStyle w:val="Body"/>
        <w:numPr>
          <w:ilvl w:val="0"/>
          <w:numId w:val="46"/>
        </w:numPr>
      </w:pPr>
      <w:r>
        <w:rPr>
          <w:lang w:val="fr-FR"/>
        </w:rPr>
        <w:t>parent;</w:t>
      </w:r>
    </w:p>
    <w:p w:rsidR="00D46C45" w:rsidRDefault="00D46C45" w:rsidP="00D46C45">
      <w:pPr>
        <w:pStyle w:val="Body"/>
        <w:numPr>
          <w:ilvl w:val="0"/>
          <w:numId w:val="46"/>
        </w:numPr>
      </w:pPr>
      <w:r>
        <w:rPr>
          <w:lang w:val="fr-FR"/>
        </w:rPr>
        <w:t>enfant;</w:t>
      </w:r>
    </w:p>
    <w:p w:rsidR="00D46C45" w:rsidRDefault="00D46C45" w:rsidP="00D46C45">
      <w:pPr>
        <w:pStyle w:val="Body"/>
        <w:numPr>
          <w:ilvl w:val="0"/>
          <w:numId w:val="46"/>
        </w:numPr>
      </w:pPr>
      <w:r>
        <w:rPr>
          <w:lang w:val="fr-FR"/>
        </w:rPr>
        <w:t>frère ou sœur;</w:t>
      </w:r>
    </w:p>
    <w:p w:rsidR="00D46C45" w:rsidRPr="009657F7" w:rsidRDefault="00D46C45" w:rsidP="00D46C45">
      <w:pPr>
        <w:pStyle w:val="Body"/>
        <w:numPr>
          <w:ilvl w:val="0"/>
          <w:numId w:val="46"/>
        </w:numPr>
        <w:rPr>
          <w:lang w:val="fr-CA"/>
        </w:rPr>
      </w:pPr>
      <w:r>
        <w:rPr>
          <w:lang w:val="fr-FR"/>
        </w:rPr>
        <w:t>par le mariage (beau-père, belle-mère, beau-fils, belle-fille, beau-frère, belle-sœur, père adoptif, mère adoptive, demi-frère et demi-sœur);</w:t>
      </w:r>
    </w:p>
    <w:p w:rsidR="00D46C45" w:rsidRPr="009657F7" w:rsidRDefault="00D46C45" w:rsidP="00D46C45">
      <w:pPr>
        <w:pStyle w:val="Body"/>
        <w:numPr>
          <w:ilvl w:val="0"/>
          <w:numId w:val="46"/>
        </w:numPr>
        <w:rPr>
          <w:lang w:val="fr-CA"/>
        </w:rPr>
      </w:pPr>
      <w:r>
        <w:rPr>
          <w:lang w:val="fr-FR"/>
        </w:rPr>
        <w:t>par l’adoption (parents, frères, sœurs et enfants adoptifs).</w:t>
      </w:r>
    </w:p>
    <w:p w:rsidR="00D46C45" w:rsidRPr="009657F7" w:rsidRDefault="00D46C45" w:rsidP="00D46C45">
      <w:pPr>
        <w:pStyle w:val="Body"/>
        <w:rPr>
          <w:lang w:val="fr-CA"/>
        </w:rPr>
      </w:pPr>
    </w:p>
    <w:p w:rsidR="00D46C45" w:rsidRPr="009657F7" w:rsidRDefault="00D46C45" w:rsidP="00D46C45">
      <w:pPr>
        <w:pStyle w:val="Body"/>
        <w:ind w:left="180" w:hanging="90"/>
        <w:rPr>
          <w:lang w:val="fr-CA"/>
        </w:rPr>
      </w:pPr>
      <w:r>
        <w:rPr>
          <w:lang w:val="fr-FR"/>
        </w:rPr>
        <w:lastRenderedPageBreak/>
        <w:t>*On entend par conjoint(e) de fait des personnes qui vivent en couple pendant au moins un an ou qui ont un enfant ensemble, ou qui ont conclu un accord de cohabitation.</w:t>
      </w:r>
    </w:p>
    <w:p w:rsidR="004E466D" w:rsidRPr="00B8625D" w:rsidRDefault="004E466D" w:rsidP="00B8625D">
      <w:pPr>
        <w:pStyle w:val="Body"/>
        <w:rPr>
          <w:b/>
          <w:bCs/>
          <w:lang w:val="fr-FR"/>
        </w:rPr>
      </w:pPr>
    </w:p>
    <w:p w:rsidR="00B8625D" w:rsidRPr="009657F7" w:rsidRDefault="00B8625D" w:rsidP="00B2489D">
      <w:pPr>
        <w:pStyle w:val="Body"/>
        <w:rPr>
          <w:lang w:val="fr-CA"/>
        </w:rPr>
      </w:pPr>
    </w:p>
    <w:sectPr w:rsidR="00B8625D" w:rsidRPr="009657F7" w:rsidSect="00E3001D">
      <w:footerReference w:type="default" r:id="rId7"/>
      <w:headerReference w:type="first" r:id="rId8"/>
      <w:pgSz w:w="12240" w:h="15840" w:code="1"/>
      <w:pgMar w:top="1440" w:right="1440" w:bottom="1440" w:left="1440"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00A6" w:rsidRDefault="008800A6" w:rsidP="00B54674">
      <w:r>
        <w:separator/>
      </w:r>
    </w:p>
  </w:endnote>
  <w:endnote w:type="continuationSeparator" w:id="0">
    <w:p w:rsidR="008800A6" w:rsidRDefault="008800A6" w:rsidP="00B54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001D" w:rsidRDefault="00E3001D">
    <w:pPr>
      <w:pStyle w:val="Footer"/>
    </w:pPr>
    <w:r>
      <w:rPr>
        <w:noProof/>
        <w:sz w:val="20"/>
        <w:szCs w:val="20"/>
        <w:lang w:val="en-CA" w:eastAsia="en-CA"/>
      </w:rPr>
      <w:drawing>
        <wp:anchor distT="0" distB="0" distL="114300" distR="114300" simplePos="0" relativeHeight="251660288" behindDoc="0" locked="0" layoutInCell="1" allowOverlap="1" wp14:anchorId="2CE4DD4F" wp14:editId="630AD8DE">
          <wp:simplePos x="0" y="0"/>
          <wp:positionH relativeFrom="column">
            <wp:posOffset>0</wp:posOffset>
          </wp:positionH>
          <wp:positionV relativeFrom="paragraph">
            <wp:posOffset>-328930</wp:posOffset>
          </wp:positionV>
          <wp:extent cx="963295" cy="323850"/>
          <wp:effectExtent l="0" t="0" r="8255" b="0"/>
          <wp:wrapNone/>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3295" cy="323850"/>
                  </a:xfrm>
                  <a:prstGeom prst="rect">
                    <a:avLst/>
                  </a:prstGeom>
                </pic:spPr>
              </pic:pic>
            </a:graphicData>
          </a:graphic>
          <wp14:sizeRelH relativeFrom="page">
            <wp14:pctWidth>0</wp14:pctWidth>
          </wp14:sizeRelH>
          <wp14:sizeRelV relativeFrom="page">
            <wp14:pctHeight>0</wp14:pctHeight>
          </wp14:sizeRelV>
        </wp:anchor>
      </w:drawing>
    </w:r>
    <w:r>
      <w:rPr>
        <w:noProof/>
        <w:lang w:val="en-CA" w:eastAsia="en-CA"/>
      </w:rPr>
      <mc:AlternateContent>
        <mc:Choice Requires="wps">
          <w:drawing>
            <wp:anchor distT="0" distB="0" distL="114300" distR="114300" simplePos="0" relativeHeight="251659264" behindDoc="0" locked="0" layoutInCell="1" allowOverlap="1" wp14:anchorId="72DA483D" wp14:editId="3B1234FC">
              <wp:simplePos x="0" y="0"/>
              <wp:positionH relativeFrom="column">
                <wp:posOffset>3514725</wp:posOffset>
              </wp:positionH>
              <wp:positionV relativeFrom="paragraph">
                <wp:posOffset>-282575</wp:posOffset>
              </wp:positionV>
              <wp:extent cx="2812415"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2415" cy="1403985"/>
                      </a:xfrm>
                      <a:prstGeom prst="rect">
                        <a:avLst/>
                      </a:prstGeom>
                      <a:noFill/>
                      <a:ln w="9525">
                        <a:noFill/>
                        <a:miter lim="800000"/>
                        <a:headEnd/>
                        <a:tailEnd/>
                      </a:ln>
                    </wps:spPr>
                    <wps:txbx>
                      <w:txbxContent>
                        <w:p w:rsidR="00E3001D" w:rsidRPr="00E3001D" w:rsidRDefault="00E3001D" w:rsidP="00E3001D">
                          <w:pPr>
                            <w:jc w:val="right"/>
                            <w:rPr>
                              <w:rFonts w:asciiTheme="minorHAnsi" w:hAnsiTheme="minorHAnsi"/>
                              <w:i/>
                              <w:sz w:val="18"/>
                              <w:szCs w:val="18"/>
                              <w:lang w:val="fr-FR"/>
                            </w:rPr>
                          </w:pPr>
                          <w:r>
                            <w:rPr>
                              <w:rFonts w:asciiTheme="minorHAnsi" w:hAnsiTheme="minorHAnsi"/>
                              <w:i/>
                              <w:sz w:val="18"/>
                              <w:lang w:val="fr-FR"/>
                            </w:rPr>
                            <w:t>Norme sur les limites professionnelles et les abus sexuels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2DA483D" id="_x0000_t202" coordsize="21600,21600" o:spt="202" path="m,l,21600r21600,l21600,xe">
              <v:stroke joinstyle="miter"/>
              <v:path gradientshapeok="t" o:connecttype="rect"/>
            </v:shapetype>
            <v:shape id="Text Box 2" o:spid="_x0000_s1026" type="#_x0000_t202" style="position:absolute;margin-left:276.75pt;margin-top:-22.25pt;width:221.4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" filled="f" stroked="f">
              <v:textbox style="mso-fit-shape-to-text:t">
                <w:txbxContent>
                  <w:p w:rsidR="00E3001D" w:rsidRPr="00E3001D" w:rsidRDefault="00E3001D" w:rsidP="00E3001D">
                    <w:pPr>
                      <w:jc w:val="right"/>
                      <w:rPr>
                        <w:rFonts w:asciiTheme="minorHAnsi" w:hAnsiTheme="minorHAnsi"/>
                        <w:i/>
                        <w:sz w:val="18"/>
                        <w:szCs w:val="18"/>
                        <w:lang w:val="fr-FR"/>
                      </w:rPr>
                    </w:pPr>
                    <w:r>
                      <w:rPr>
                        <w:rFonts w:asciiTheme="minorHAnsi" w:hAnsiTheme="minorHAnsi"/>
                        <w:i/>
                        <w:sz w:val="18"/>
                        <w:lang w:val="fr-FR"/>
                      </w:rPr>
                      <w:t>Norme sur les limites professionnelles et les abus sexuels</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00A6" w:rsidRDefault="008800A6" w:rsidP="00B54674">
      <w:r>
        <w:separator/>
      </w:r>
    </w:p>
  </w:footnote>
  <w:footnote w:type="continuationSeparator" w:id="0">
    <w:p w:rsidR="008800A6" w:rsidRDefault="008800A6" w:rsidP="00B546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001D" w:rsidRDefault="00E3001D">
    <w:pPr>
      <w:pStyle w:val="Header"/>
    </w:pPr>
    <w:r>
      <w:rPr>
        <w:noProof/>
        <w:sz w:val="20"/>
        <w:szCs w:val="20"/>
        <w:lang w:val="en-CA" w:eastAsia="en-CA"/>
      </w:rPr>
      <w:drawing>
        <wp:inline distT="0" distB="0" distL="0" distR="0" wp14:anchorId="3EBDADE4" wp14:editId="0DC4D966">
          <wp:extent cx="1505711" cy="505968"/>
          <wp:effectExtent l="0" t="0" r="0" b="0"/>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505711" cy="505968"/>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A0E39"/>
    <w:multiLevelType w:val="hybridMultilevel"/>
    <w:tmpl w:val="967C7F0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09385656"/>
    <w:multiLevelType w:val="hybridMultilevel"/>
    <w:tmpl w:val="CE3C5B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9E67DE1"/>
    <w:multiLevelType w:val="hybridMultilevel"/>
    <w:tmpl w:val="75BAC938"/>
    <w:lvl w:ilvl="0" w:tplc="E74E48DA">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B2F4AD1"/>
    <w:multiLevelType w:val="hybridMultilevel"/>
    <w:tmpl w:val="E1041A8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0BFD1508"/>
    <w:multiLevelType w:val="hybridMultilevel"/>
    <w:tmpl w:val="4F1670D6"/>
    <w:lvl w:ilvl="0" w:tplc="1009000F">
      <w:start w:val="1"/>
      <w:numFmt w:val="decimal"/>
      <w:lvlText w:val="%1."/>
      <w:lvlJc w:val="left"/>
      <w:pPr>
        <w:ind w:left="720" w:hanging="360"/>
      </w:pPr>
    </w:lvl>
    <w:lvl w:ilvl="1" w:tplc="CFD6CAF0">
      <w:start w:val="1"/>
      <w:numFmt w:val="lowerRoman"/>
      <w:lvlText w:val="(%2)"/>
      <w:lvlJc w:val="righ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0FEA371E"/>
    <w:multiLevelType w:val="hybridMultilevel"/>
    <w:tmpl w:val="58923642"/>
    <w:lvl w:ilvl="0" w:tplc="634EFD96">
      <w:start w:val="1"/>
      <w:numFmt w:val="lowerRoman"/>
      <w:lvlText w:val="(%1)"/>
      <w:lvlJc w:val="right"/>
      <w:pPr>
        <w:tabs>
          <w:tab w:val="num" w:pos="900"/>
        </w:tabs>
        <w:ind w:left="900" w:hanging="1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2D3616B"/>
    <w:multiLevelType w:val="hybridMultilevel"/>
    <w:tmpl w:val="55F029EE"/>
    <w:lvl w:ilvl="0" w:tplc="E04A1B78">
      <w:start w:val="1"/>
      <w:numFmt w:val="decimal"/>
      <w:lvlText w:val="%1)"/>
      <w:lvlJc w:val="left"/>
      <w:pPr>
        <w:ind w:left="1080" w:hanging="360"/>
      </w:pPr>
      <w:rPr>
        <w:b w:val="0"/>
      </w:rPr>
    </w:lvl>
    <w:lvl w:ilvl="1" w:tplc="CFD6CAF0">
      <w:start w:val="1"/>
      <w:numFmt w:val="lowerRoman"/>
      <w:lvlText w:val="(%2)"/>
      <w:lvlJc w:val="right"/>
      <w:pPr>
        <w:ind w:left="1800" w:hanging="360"/>
      </w:pPr>
      <w:rPr>
        <w:rFonts w:hint="default"/>
      </w:r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 w15:restartNumberingAfterBreak="0">
    <w:nsid w:val="13642807"/>
    <w:multiLevelType w:val="hybridMultilevel"/>
    <w:tmpl w:val="ACFCE304"/>
    <w:lvl w:ilvl="0" w:tplc="265042F6">
      <w:numFmt w:val="bullet"/>
      <w:pStyle w:val="Bullets"/>
      <w:lvlText w:val="•"/>
      <w:lvlJc w:val="left"/>
      <w:pPr>
        <w:ind w:left="720" w:hanging="360"/>
      </w:pPr>
      <w:rPr>
        <w:rFonts w:ascii="Arial" w:hAnsi="Arial" w:hint="default"/>
        <w:sz w:val="24"/>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7873948"/>
    <w:multiLevelType w:val="hybridMultilevel"/>
    <w:tmpl w:val="760E6880"/>
    <w:lvl w:ilvl="0" w:tplc="10090019">
      <w:start w:val="1"/>
      <w:numFmt w:val="lowerLetter"/>
      <w:lvlText w:val="%1."/>
      <w:lvlJc w:val="left"/>
      <w:pPr>
        <w:ind w:left="144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B82BFB"/>
    <w:multiLevelType w:val="hybridMultilevel"/>
    <w:tmpl w:val="F5160CC6"/>
    <w:lvl w:ilvl="0" w:tplc="634EFD96">
      <w:start w:val="1"/>
      <w:numFmt w:val="lowerRoman"/>
      <w:lvlText w:val="(%1)"/>
      <w:lvlJc w:val="right"/>
      <w:pPr>
        <w:tabs>
          <w:tab w:val="num" w:pos="540"/>
        </w:tabs>
        <w:ind w:left="540" w:hanging="18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1B222EC0"/>
    <w:multiLevelType w:val="hybridMultilevel"/>
    <w:tmpl w:val="4C06EE42"/>
    <w:lvl w:ilvl="0" w:tplc="CFD6CAF0">
      <w:start w:val="1"/>
      <w:numFmt w:val="lowerRoman"/>
      <w:lvlText w:val="(%1)"/>
      <w:lvlJc w:val="right"/>
      <w:pPr>
        <w:tabs>
          <w:tab w:val="num" w:pos="540"/>
        </w:tabs>
        <w:ind w:left="540" w:hanging="1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E986D72"/>
    <w:multiLevelType w:val="hybridMultilevel"/>
    <w:tmpl w:val="0FA21716"/>
    <w:lvl w:ilvl="0" w:tplc="CFD6CAF0">
      <w:start w:val="1"/>
      <w:numFmt w:val="lowerRoman"/>
      <w:lvlText w:val="(%1)"/>
      <w:lvlJc w:val="right"/>
      <w:pPr>
        <w:ind w:left="1440" w:hanging="360"/>
      </w:pPr>
      <w:rPr>
        <w:rFont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2" w15:restartNumberingAfterBreak="0">
    <w:nsid w:val="1F9140C9"/>
    <w:multiLevelType w:val="hybridMultilevel"/>
    <w:tmpl w:val="00B09C46"/>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22AA1C30"/>
    <w:multiLevelType w:val="multilevel"/>
    <w:tmpl w:val="170C8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4093879"/>
    <w:multiLevelType w:val="hybridMultilevel"/>
    <w:tmpl w:val="90881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3B2B71"/>
    <w:multiLevelType w:val="hybridMultilevel"/>
    <w:tmpl w:val="942007F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24AA4C24"/>
    <w:multiLevelType w:val="multilevel"/>
    <w:tmpl w:val="A162AF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71D44A9"/>
    <w:multiLevelType w:val="hybridMultilevel"/>
    <w:tmpl w:val="6E46EEFE"/>
    <w:lvl w:ilvl="0" w:tplc="634EFD96">
      <w:start w:val="1"/>
      <w:numFmt w:val="lowerRoman"/>
      <w:lvlText w:val="(%1)"/>
      <w:lvlJc w:val="right"/>
      <w:pPr>
        <w:tabs>
          <w:tab w:val="num" w:pos="540"/>
        </w:tabs>
        <w:ind w:left="540" w:hanging="18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95F6939"/>
    <w:multiLevelType w:val="hybridMultilevel"/>
    <w:tmpl w:val="D6285A86"/>
    <w:lvl w:ilvl="0" w:tplc="1BCE1B42">
      <w:start w:val="1"/>
      <w:numFmt w:val="bullet"/>
      <w:lvlText w:val=""/>
      <w:lvlJc w:val="left"/>
      <w:pPr>
        <w:tabs>
          <w:tab w:val="num" w:pos="344"/>
        </w:tabs>
        <w:ind w:left="344" w:hanging="284"/>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29E20198"/>
    <w:multiLevelType w:val="hybridMultilevel"/>
    <w:tmpl w:val="BBC4C9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2DFE1E07"/>
    <w:multiLevelType w:val="hybridMultilevel"/>
    <w:tmpl w:val="A0C2B182"/>
    <w:lvl w:ilvl="0" w:tplc="634EFD96">
      <w:start w:val="1"/>
      <w:numFmt w:val="lowerRoman"/>
      <w:lvlText w:val="(%1)"/>
      <w:lvlJc w:val="right"/>
      <w:pPr>
        <w:tabs>
          <w:tab w:val="num" w:pos="1260"/>
        </w:tabs>
        <w:ind w:left="1260" w:hanging="180"/>
      </w:pPr>
      <w:rPr>
        <w:rFonts w:hint="default"/>
      </w:rPr>
    </w:lvl>
    <w:lvl w:ilvl="1" w:tplc="04090019">
      <w:start w:val="1"/>
      <w:numFmt w:val="lowerLetter"/>
      <w:lvlText w:val="%2."/>
      <w:lvlJc w:val="left"/>
      <w:pPr>
        <w:tabs>
          <w:tab w:val="num" w:pos="1800"/>
        </w:tabs>
        <w:ind w:left="1800" w:hanging="360"/>
      </w:pPr>
    </w:lvl>
    <w:lvl w:ilvl="2" w:tplc="634EFD96">
      <w:start w:val="1"/>
      <w:numFmt w:val="lowerRoman"/>
      <w:lvlText w:val="(%3)"/>
      <w:lvlJc w:val="right"/>
      <w:pPr>
        <w:tabs>
          <w:tab w:val="num" w:pos="2520"/>
        </w:tabs>
        <w:ind w:left="2520" w:hanging="18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340013A5"/>
    <w:multiLevelType w:val="hybridMultilevel"/>
    <w:tmpl w:val="9DF2D84A"/>
    <w:lvl w:ilvl="0" w:tplc="1009000F">
      <w:start w:val="1"/>
      <w:numFmt w:val="decimal"/>
      <w:lvlText w:val="%1."/>
      <w:lvlJc w:val="left"/>
      <w:pPr>
        <w:ind w:left="720" w:hanging="360"/>
      </w:pPr>
    </w:lvl>
    <w:lvl w:ilvl="1" w:tplc="EB2CB6FC">
      <w:start w:val="1"/>
      <w:numFmt w:val="lowerLetter"/>
      <w:lvlText w:val="%2."/>
      <w:lvlJc w:val="left"/>
      <w:pPr>
        <w:ind w:left="1440" w:hanging="360"/>
      </w:pPr>
      <w:rPr>
        <w:b w:val="0"/>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38111A76"/>
    <w:multiLevelType w:val="hybridMultilevel"/>
    <w:tmpl w:val="87EE40D4"/>
    <w:lvl w:ilvl="0" w:tplc="1009001B">
      <w:start w:val="1"/>
      <w:numFmt w:val="lowerRoman"/>
      <w:lvlText w:val="%1."/>
      <w:lvlJc w:val="right"/>
      <w:pPr>
        <w:ind w:left="360" w:hanging="360"/>
      </w:pPr>
      <w:rPr>
        <w:rFont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15:restartNumberingAfterBreak="0">
    <w:nsid w:val="3D2C707D"/>
    <w:multiLevelType w:val="hybridMultilevel"/>
    <w:tmpl w:val="D9A89F14"/>
    <w:lvl w:ilvl="0" w:tplc="09CEA56E">
      <w:start w:val="4"/>
      <w:numFmt w:val="bullet"/>
      <w:lvlText w:val="-"/>
      <w:lvlJc w:val="left"/>
      <w:pPr>
        <w:ind w:left="360" w:hanging="360"/>
      </w:pPr>
      <w:rPr>
        <w:rFonts w:ascii="Arial" w:eastAsia="Times New Roman" w:hAnsi="Arial" w:cs="Aria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15:restartNumberingAfterBreak="0">
    <w:nsid w:val="401C3C58"/>
    <w:multiLevelType w:val="hybridMultilevel"/>
    <w:tmpl w:val="930E2246"/>
    <w:lvl w:ilvl="0" w:tplc="1009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0841CF"/>
    <w:multiLevelType w:val="hybridMultilevel"/>
    <w:tmpl w:val="85F8DB00"/>
    <w:lvl w:ilvl="0" w:tplc="10090011">
      <w:start w:val="1"/>
      <w:numFmt w:val="decimal"/>
      <w:lvlText w:val="%1)"/>
      <w:lvlJc w:val="left"/>
      <w:pPr>
        <w:ind w:left="1080" w:hanging="360"/>
      </w:pPr>
      <w:rPr>
        <w:rFonts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6" w15:restartNumberingAfterBreak="0">
    <w:nsid w:val="44314839"/>
    <w:multiLevelType w:val="hybridMultilevel"/>
    <w:tmpl w:val="22B0FAF6"/>
    <w:lvl w:ilvl="0" w:tplc="BBCC3730">
      <w:start w:val="1"/>
      <w:numFmt w:val="lowerRoman"/>
      <w:lvlText w:val="(%1)"/>
      <w:lvlJc w:val="right"/>
      <w:pPr>
        <w:tabs>
          <w:tab w:val="num" w:pos="720"/>
        </w:tabs>
        <w:ind w:left="720" w:hanging="180"/>
      </w:pPr>
      <w:rPr>
        <w:rFonts w:hint="default"/>
      </w:rPr>
    </w:lvl>
    <w:lvl w:ilvl="1" w:tplc="0409000F">
      <w:start w:val="1"/>
      <w:numFmt w:val="decimal"/>
      <w:lvlText w:val="%2."/>
      <w:lvlJc w:val="left"/>
      <w:pPr>
        <w:tabs>
          <w:tab w:val="num" w:pos="1620"/>
        </w:tabs>
        <w:ind w:left="1620" w:hanging="360"/>
      </w:pPr>
      <w:rPr>
        <w:rFonts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7" w15:restartNumberingAfterBreak="0">
    <w:nsid w:val="44DA3031"/>
    <w:multiLevelType w:val="hybridMultilevel"/>
    <w:tmpl w:val="646CFEA6"/>
    <w:lvl w:ilvl="0" w:tplc="88B04F36">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498E1F25"/>
    <w:multiLevelType w:val="hybridMultilevel"/>
    <w:tmpl w:val="F872E9E4"/>
    <w:lvl w:ilvl="0" w:tplc="634EFD96">
      <w:start w:val="1"/>
      <w:numFmt w:val="lowerRoman"/>
      <w:lvlText w:val="(%1)"/>
      <w:lvlJc w:val="right"/>
      <w:pPr>
        <w:tabs>
          <w:tab w:val="num" w:pos="900"/>
        </w:tabs>
        <w:ind w:left="90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AFC72C3"/>
    <w:multiLevelType w:val="hybridMultilevel"/>
    <w:tmpl w:val="F14A38EC"/>
    <w:lvl w:ilvl="0" w:tplc="CFD6CAF0">
      <w:start w:val="1"/>
      <w:numFmt w:val="lowerRoman"/>
      <w:lvlText w:val="(%1)"/>
      <w:lvlJc w:val="right"/>
      <w:pPr>
        <w:ind w:left="1440" w:hanging="360"/>
      </w:pPr>
      <w:rPr>
        <w:rFont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0" w15:restartNumberingAfterBreak="0">
    <w:nsid w:val="537A31DD"/>
    <w:multiLevelType w:val="multilevel"/>
    <w:tmpl w:val="4424A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46567BA"/>
    <w:multiLevelType w:val="hybridMultilevel"/>
    <w:tmpl w:val="100CDB0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552C3C28"/>
    <w:multiLevelType w:val="hybridMultilevel"/>
    <w:tmpl w:val="258232A4"/>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3" w15:restartNumberingAfterBreak="0">
    <w:nsid w:val="560E2023"/>
    <w:multiLevelType w:val="hybridMultilevel"/>
    <w:tmpl w:val="EC806FF2"/>
    <w:lvl w:ilvl="0" w:tplc="CFD6CAF0">
      <w:start w:val="1"/>
      <w:numFmt w:val="lowerRoman"/>
      <w:lvlText w:val="(%1)"/>
      <w:lvlJc w:val="right"/>
      <w:pPr>
        <w:tabs>
          <w:tab w:val="num" w:pos="900"/>
        </w:tabs>
        <w:ind w:left="900" w:hanging="180"/>
      </w:pPr>
      <w:rPr>
        <w:rFonts w:hint="default"/>
      </w:rPr>
    </w:lvl>
    <w:lvl w:ilvl="1" w:tplc="0409000F">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5A1B193D"/>
    <w:multiLevelType w:val="hybridMultilevel"/>
    <w:tmpl w:val="D7BCF3E4"/>
    <w:lvl w:ilvl="0" w:tplc="CFD6CAF0">
      <w:start w:val="1"/>
      <w:numFmt w:val="lowerRoman"/>
      <w:lvlText w:val="(%1)"/>
      <w:lvlJc w:val="righ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5" w15:restartNumberingAfterBreak="0">
    <w:nsid w:val="5A8724E0"/>
    <w:multiLevelType w:val="hybridMultilevel"/>
    <w:tmpl w:val="B5F04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BE936A8"/>
    <w:multiLevelType w:val="hybridMultilevel"/>
    <w:tmpl w:val="35BCD7EC"/>
    <w:lvl w:ilvl="0" w:tplc="10090013">
      <w:start w:val="1"/>
      <w:numFmt w:val="upp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5C5E5BDB"/>
    <w:multiLevelType w:val="hybridMultilevel"/>
    <w:tmpl w:val="2F44C772"/>
    <w:lvl w:ilvl="0" w:tplc="CFD6CAF0">
      <w:start w:val="1"/>
      <w:numFmt w:val="lowerRoman"/>
      <w:lvlText w:val="(%1)"/>
      <w:lvlJc w:val="right"/>
      <w:pPr>
        <w:tabs>
          <w:tab w:val="num" w:pos="540"/>
        </w:tabs>
        <w:ind w:left="54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63F558B"/>
    <w:multiLevelType w:val="hybridMultilevel"/>
    <w:tmpl w:val="D55808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6AAF03D1"/>
    <w:multiLevelType w:val="multilevel"/>
    <w:tmpl w:val="1A7C4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B8D4667"/>
    <w:multiLevelType w:val="hybridMultilevel"/>
    <w:tmpl w:val="4948CB2E"/>
    <w:lvl w:ilvl="0" w:tplc="1BCE1B42">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C792EA7"/>
    <w:multiLevelType w:val="hybridMultilevel"/>
    <w:tmpl w:val="DDAA871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2" w15:restartNumberingAfterBreak="0">
    <w:nsid w:val="75FF0449"/>
    <w:multiLevelType w:val="hybridMultilevel"/>
    <w:tmpl w:val="5FD87666"/>
    <w:lvl w:ilvl="0" w:tplc="CFD6CAF0">
      <w:start w:val="1"/>
      <w:numFmt w:val="lowerRoman"/>
      <w:lvlText w:val="(%1)"/>
      <w:lvlJc w:val="right"/>
      <w:pPr>
        <w:tabs>
          <w:tab w:val="num" w:pos="720"/>
        </w:tabs>
        <w:ind w:left="720" w:hanging="18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8BD27C86">
      <w:start w:val="1"/>
      <w:numFmt w:val="lowerLetter"/>
      <w:lvlText w:val="%3."/>
      <w:lvlJc w:val="left"/>
      <w:pPr>
        <w:tabs>
          <w:tab w:val="num" w:pos="2340"/>
        </w:tabs>
        <w:ind w:left="2340" w:hanging="360"/>
      </w:pPr>
      <w:rPr>
        <w:rFont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43" w15:restartNumberingAfterBreak="0">
    <w:nsid w:val="76946F16"/>
    <w:multiLevelType w:val="hybridMultilevel"/>
    <w:tmpl w:val="D726627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4" w15:restartNumberingAfterBreak="0">
    <w:nsid w:val="78080F2A"/>
    <w:multiLevelType w:val="hybridMultilevel"/>
    <w:tmpl w:val="14D202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7EA266B0"/>
    <w:multiLevelType w:val="hybridMultilevel"/>
    <w:tmpl w:val="97726CD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26"/>
  </w:num>
  <w:num w:numId="2">
    <w:abstractNumId w:val="33"/>
  </w:num>
  <w:num w:numId="3">
    <w:abstractNumId w:val="10"/>
  </w:num>
  <w:num w:numId="4">
    <w:abstractNumId w:val="5"/>
  </w:num>
  <w:num w:numId="5">
    <w:abstractNumId w:val="28"/>
  </w:num>
  <w:num w:numId="6">
    <w:abstractNumId w:val="17"/>
  </w:num>
  <w:num w:numId="7">
    <w:abstractNumId w:val="9"/>
  </w:num>
  <w:num w:numId="8">
    <w:abstractNumId w:val="20"/>
  </w:num>
  <w:num w:numId="9">
    <w:abstractNumId w:val="37"/>
  </w:num>
  <w:num w:numId="10">
    <w:abstractNumId w:val="40"/>
  </w:num>
  <w:num w:numId="11">
    <w:abstractNumId w:val="18"/>
  </w:num>
  <w:num w:numId="12">
    <w:abstractNumId w:val="23"/>
  </w:num>
  <w:num w:numId="13">
    <w:abstractNumId w:val="0"/>
  </w:num>
  <w:num w:numId="14">
    <w:abstractNumId w:val="41"/>
  </w:num>
  <w:num w:numId="15">
    <w:abstractNumId w:val="43"/>
  </w:num>
  <w:num w:numId="16">
    <w:abstractNumId w:val="44"/>
  </w:num>
  <w:num w:numId="17">
    <w:abstractNumId w:val="3"/>
  </w:num>
  <w:num w:numId="18">
    <w:abstractNumId w:val="15"/>
  </w:num>
  <w:num w:numId="19">
    <w:abstractNumId w:val="42"/>
  </w:num>
  <w:num w:numId="20">
    <w:abstractNumId w:val="45"/>
  </w:num>
  <w:num w:numId="21">
    <w:abstractNumId w:val="25"/>
  </w:num>
  <w:num w:numId="22">
    <w:abstractNumId w:val="1"/>
  </w:num>
  <w:num w:numId="23">
    <w:abstractNumId w:val="32"/>
  </w:num>
  <w:num w:numId="24">
    <w:abstractNumId w:val="36"/>
  </w:num>
  <w:num w:numId="25">
    <w:abstractNumId w:val="34"/>
  </w:num>
  <w:num w:numId="26">
    <w:abstractNumId w:val="22"/>
  </w:num>
  <w:num w:numId="27">
    <w:abstractNumId w:val="29"/>
  </w:num>
  <w:num w:numId="28">
    <w:abstractNumId w:val="11"/>
  </w:num>
  <w:num w:numId="29">
    <w:abstractNumId w:val="4"/>
  </w:num>
  <w:num w:numId="30">
    <w:abstractNumId w:val="6"/>
  </w:num>
  <w:num w:numId="31">
    <w:abstractNumId w:val="2"/>
  </w:num>
  <w:num w:numId="32">
    <w:abstractNumId w:val="27"/>
  </w:num>
  <w:num w:numId="33">
    <w:abstractNumId w:val="7"/>
  </w:num>
  <w:num w:numId="34">
    <w:abstractNumId w:val="31"/>
  </w:num>
  <w:num w:numId="35">
    <w:abstractNumId w:val="12"/>
  </w:num>
  <w:num w:numId="36">
    <w:abstractNumId w:val="24"/>
  </w:num>
  <w:num w:numId="37">
    <w:abstractNumId w:val="8"/>
  </w:num>
  <w:num w:numId="38">
    <w:abstractNumId w:val="21"/>
  </w:num>
  <w:num w:numId="39">
    <w:abstractNumId w:val="14"/>
  </w:num>
  <w:num w:numId="40">
    <w:abstractNumId w:val="35"/>
  </w:num>
  <w:num w:numId="41">
    <w:abstractNumId w:val="38"/>
  </w:num>
  <w:num w:numId="42">
    <w:abstractNumId w:val="13"/>
  </w:num>
  <w:num w:numId="43">
    <w:abstractNumId w:val="30"/>
  </w:num>
  <w:num w:numId="44">
    <w:abstractNumId w:val="39"/>
  </w:num>
  <w:num w:numId="45">
    <w:abstractNumId w:val="16"/>
  </w:num>
  <w:num w:numId="4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674"/>
    <w:rsid w:val="00010DD1"/>
    <w:rsid w:val="000222E2"/>
    <w:rsid w:val="00054A79"/>
    <w:rsid w:val="0006719D"/>
    <w:rsid w:val="00084FD7"/>
    <w:rsid w:val="000A319E"/>
    <w:rsid w:val="000B1CAC"/>
    <w:rsid w:val="000B57B7"/>
    <w:rsid w:val="000D26B8"/>
    <w:rsid w:val="000D4E40"/>
    <w:rsid w:val="000E033D"/>
    <w:rsid w:val="000E321A"/>
    <w:rsid w:val="00116A1B"/>
    <w:rsid w:val="00133AAF"/>
    <w:rsid w:val="001606E5"/>
    <w:rsid w:val="0017510B"/>
    <w:rsid w:val="00190CD6"/>
    <w:rsid w:val="001A10F4"/>
    <w:rsid w:val="001A351C"/>
    <w:rsid w:val="0020748E"/>
    <w:rsid w:val="00243074"/>
    <w:rsid w:val="0024557E"/>
    <w:rsid w:val="00270272"/>
    <w:rsid w:val="002723B0"/>
    <w:rsid w:val="00280268"/>
    <w:rsid w:val="0028076E"/>
    <w:rsid w:val="002953A0"/>
    <w:rsid w:val="002B3F51"/>
    <w:rsid w:val="002F19E5"/>
    <w:rsid w:val="00317A10"/>
    <w:rsid w:val="00327F08"/>
    <w:rsid w:val="00330E4C"/>
    <w:rsid w:val="003476FD"/>
    <w:rsid w:val="00347715"/>
    <w:rsid w:val="003B6EB4"/>
    <w:rsid w:val="003C4618"/>
    <w:rsid w:val="003F5F44"/>
    <w:rsid w:val="0042335E"/>
    <w:rsid w:val="00456359"/>
    <w:rsid w:val="0047701F"/>
    <w:rsid w:val="00477A1B"/>
    <w:rsid w:val="004D5099"/>
    <w:rsid w:val="004D644B"/>
    <w:rsid w:val="004E466D"/>
    <w:rsid w:val="00507209"/>
    <w:rsid w:val="005132C8"/>
    <w:rsid w:val="005511D4"/>
    <w:rsid w:val="005756AC"/>
    <w:rsid w:val="005A20B6"/>
    <w:rsid w:val="005A3335"/>
    <w:rsid w:val="005B6668"/>
    <w:rsid w:val="005D1C6A"/>
    <w:rsid w:val="005D2FEA"/>
    <w:rsid w:val="005E69A2"/>
    <w:rsid w:val="005F52CF"/>
    <w:rsid w:val="0060074F"/>
    <w:rsid w:val="00640256"/>
    <w:rsid w:val="00641AC3"/>
    <w:rsid w:val="00661CC8"/>
    <w:rsid w:val="00673607"/>
    <w:rsid w:val="006810F9"/>
    <w:rsid w:val="006831EE"/>
    <w:rsid w:val="006F504F"/>
    <w:rsid w:val="0071481D"/>
    <w:rsid w:val="00726AF0"/>
    <w:rsid w:val="00735590"/>
    <w:rsid w:val="00771995"/>
    <w:rsid w:val="00796CEB"/>
    <w:rsid w:val="007C1795"/>
    <w:rsid w:val="007C520E"/>
    <w:rsid w:val="007E03B5"/>
    <w:rsid w:val="007F23AC"/>
    <w:rsid w:val="00801148"/>
    <w:rsid w:val="00802576"/>
    <w:rsid w:val="00830016"/>
    <w:rsid w:val="008324A0"/>
    <w:rsid w:val="008330A5"/>
    <w:rsid w:val="00837EEF"/>
    <w:rsid w:val="00844AD1"/>
    <w:rsid w:val="008800A6"/>
    <w:rsid w:val="00884389"/>
    <w:rsid w:val="00893E5F"/>
    <w:rsid w:val="008B6B34"/>
    <w:rsid w:val="008E5083"/>
    <w:rsid w:val="008F04A8"/>
    <w:rsid w:val="0090202A"/>
    <w:rsid w:val="0090745F"/>
    <w:rsid w:val="009657F7"/>
    <w:rsid w:val="00965D0D"/>
    <w:rsid w:val="00973BC0"/>
    <w:rsid w:val="00980BD8"/>
    <w:rsid w:val="009A4714"/>
    <w:rsid w:val="009B6A09"/>
    <w:rsid w:val="009C14F6"/>
    <w:rsid w:val="009F0CA0"/>
    <w:rsid w:val="00A42A57"/>
    <w:rsid w:val="00A52977"/>
    <w:rsid w:val="00A7480D"/>
    <w:rsid w:val="00A86E67"/>
    <w:rsid w:val="00A92ADE"/>
    <w:rsid w:val="00AA570F"/>
    <w:rsid w:val="00AE6103"/>
    <w:rsid w:val="00AE7CF1"/>
    <w:rsid w:val="00B14035"/>
    <w:rsid w:val="00B2489D"/>
    <w:rsid w:val="00B24A30"/>
    <w:rsid w:val="00B2552A"/>
    <w:rsid w:val="00B33A5F"/>
    <w:rsid w:val="00B441A8"/>
    <w:rsid w:val="00B53AFD"/>
    <w:rsid w:val="00B54674"/>
    <w:rsid w:val="00B8625D"/>
    <w:rsid w:val="00B97660"/>
    <w:rsid w:val="00BA5DE5"/>
    <w:rsid w:val="00BB3FB7"/>
    <w:rsid w:val="00BC0A7E"/>
    <w:rsid w:val="00BC1427"/>
    <w:rsid w:val="00BC250B"/>
    <w:rsid w:val="00C11992"/>
    <w:rsid w:val="00C1309D"/>
    <w:rsid w:val="00C56381"/>
    <w:rsid w:val="00CA5BDD"/>
    <w:rsid w:val="00CC58E2"/>
    <w:rsid w:val="00D0684C"/>
    <w:rsid w:val="00D10C1B"/>
    <w:rsid w:val="00D14BD1"/>
    <w:rsid w:val="00D17FCC"/>
    <w:rsid w:val="00D22AB6"/>
    <w:rsid w:val="00D22F65"/>
    <w:rsid w:val="00D44D32"/>
    <w:rsid w:val="00D46C45"/>
    <w:rsid w:val="00D5042B"/>
    <w:rsid w:val="00D5695E"/>
    <w:rsid w:val="00D7476C"/>
    <w:rsid w:val="00D80EF1"/>
    <w:rsid w:val="00D86E77"/>
    <w:rsid w:val="00DA668C"/>
    <w:rsid w:val="00DB0292"/>
    <w:rsid w:val="00DE0692"/>
    <w:rsid w:val="00DF7B05"/>
    <w:rsid w:val="00E13DEF"/>
    <w:rsid w:val="00E3001D"/>
    <w:rsid w:val="00E41FD5"/>
    <w:rsid w:val="00E42115"/>
    <w:rsid w:val="00E629AC"/>
    <w:rsid w:val="00E72D24"/>
    <w:rsid w:val="00E92F38"/>
    <w:rsid w:val="00EB2E3B"/>
    <w:rsid w:val="00F227D2"/>
    <w:rsid w:val="00F37FA2"/>
    <w:rsid w:val="00F4032E"/>
    <w:rsid w:val="00F44B19"/>
    <w:rsid w:val="00F57932"/>
    <w:rsid w:val="00F63B93"/>
    <w:rsid w:val="00FA1533"/>
    <w:rsid w:val="00FB5060"/>
    <w:rsid w:val="00FB572A"/>
    <w:rsid w:val="00FC7AA1"/>
    <w:rsid w:val="00FF15DB"/>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F67F2D1-0F30-4305-A574-55CDAECAD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4674"/>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Body"/>
    <w:link w:val="Heading1Char"/>
    <w:uiPriority w:val="9"/>
    <w:qFormat/>
    <w:rsid w:val="00507209"/>
    <w:pPr>
      <w:keepNext/>
      <w:keepLines/>
      <w:spacing w:after="120"/>
      <w:outlineLvl w:val="0"/>
    </w:pPr>
    <w:rPr>
      <w:rFonts w:asciiTheme="minorHAnsi" w:eastAsiaTheme="majorEastAsia" w:hAnsiTheme="minorHAnsi" w:cstheme="majorBidi"/>
      <w:b/>
      <w:bCs/>
      <w:szCs w:val="28"/>
    </w:rPr>
  </w:style>
  <w:style w:type="paragraph" w:styleId="Heading2">
    <w:name w:val="heading 2"/>
    <w:basedOn w:val="Normal"/>
    <w:next w:val="Normal"/>
    <w:link w:val="Heading2Char"/>
    <w:uiPriority w:val="9"/>
    <w:semiHidden/>
    <w:unhideWhenUsed/>
    <w:qFormat/>
    <w:rsid w:val="00B8625D"/>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4674"/>
    <w:pPr>
      <w:ind w:left="720"/>
      <w:contextualSpacing/>
    </w:pPr>
    <w:rPr>
      <w:szCs w:val="20"/>
      <w:lang w:val="en-CA"/>
    </w:rPr>
  </w:style>
  <w:style w:type="paragraph" w:styleId="FootnoteText">
    <w:name w:val="footnote text"/>
    <w:basedOn w:val="Normal"/>
    <w:link w:val="FootnoteTextChar"/>
    <w:uiPriority w:val="99"/>
    <w:semiHidden/>
    <w:rsid w:val="00B54674"/>
    <w:rPr>
      <w:sz w:val="20"/>
      <w:szCs w:val="20"/>
    </w:rPr>
  </w:style>
  <w:style w:type="character" w:customStyle="1" w:styleId="FootnoteTextChar">
    <w:name w:val="Footnote Text Char"/>
    <w:basedOn w:val="DefaultParagraphFont"/>
    <w:link w:val="FootnoteText"/>
    <w:uiPriority w:val="99"/>
    <w:semiHidden/>
    <w:rsid w:val="00B54674"/>
    <w:rPr>
      <w:rFonts w:ascii="Times New Roman" w:eastAsia="Times New Roman" w:hAnsi="Times New Roman" w:cs="Times New Roman"/>
      <w:sz w:val="20"/>
      <w:szCs w:val="20"/>
      <w:lang w:val="en-US"/>
    </w:rPr>
  </w:style>
  <w:style w:type="character" w:styleId="FootnoteReference">
    <w:name w:val="footnote reference"/>
    <w:uiPriority w:val="99"/>
    <w:semiHidden/>
    <w:rsid w:val="00B54674"/>
    <w:rPr>
      <w:vertAlign w:val="superscript"/>
    </w:rPr>
  </w:style>
  <w:style w:type="paragraph" w:styleId="BalloonText">
    <w:name w:val="Balloon Text"/>
    <w:basedOn w:val="Normal"/>
    <w:link w:val="BalloonTextChar"/>
    <w:uiPriority w:val="99"/>
    <w:semiHidden/>
    <w:unhideWhenUsed/>
    <w:rsid w:val="00EB2E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2E3B"/>
    <w:rPr>
      <w:rFonts w:ascii="Segoe UI" w:eastAsia="Times New Roman" w:hAnsi="Segoe UI" w:cs="Segoe UI"/>
      <w:sz w:val="18"/>
      <w:szCs w:val="18"/>
      <w:lang w:val="en-US"/>
    </w:rPr>
  </w:style>
  <w:style w:type="character" w:customStyle="1" w:styleId="tgc">
    <w:name w:val="_tgc"/>
    <w:basedOn w:val="DefaultParagraphFont"/>
    <w:rsid w:val="00B53AFD"/>
  </w:style>
  <w:style w:type="paragraph" w:customStyle="1" w:styleId="Body">
    <w:name w:val="Body"/>
    <w:basedOn w:val="ListParagraph"/>
    <w:qFormat/>
    <w:rsid w:val="00AA570F"/>
    <w:pPr>
      <w:autoSpaceDE w:val="0"/>
      <w:autoSpaceDN w:val="0"/>
      <w:adjustRightInd w:val="0"/>
      <w:spacing w:after="120"/>
      <w:ind w:left="0"/>
    </w:pPr>
    <w:rPr>
      <w:rFonts w:asciiTheme="minorHAnsi" w:hAnsiTheme="minorHAnsi" w:cs="Arial"/>
      <w:color w:val="000000"/>
      <w:szCs w:val="24"/>
    </w:rPr>
  </w:style>
  <w:style w:type="character" w:customStyle="1" w:styleId="Heading1Char">
    <w:name w:val="Heading 1 Char"/>
    <w:basedOn w:val="DefaultParagraphFont"/>
    <w:link w:val="Heading1"/>
    <w:uiPriority w:val="9"/>
    <w:rsid w:val="00507209"/>
    <w:rPr>
      <w:rFonts w:eastAsiaTheme="majorEastAsia" w:cstheme="majorBidi"/>
      <w:b/>
      <w:bCs/>
      <w:sz w:val="24"/>
      <w:szCs w:val="28"/>
      <w:lang w:val="en-US"/>
    </w:rPr>
  </w:style>
  <w:style w:type="paragraph" w:customStyle="1" w:styleId="Bullets">
    <w:name w:val="Bullets"/>
    <w:basedOn w:val="Body"/>
    <w:qFormat/>
    <w:rsid w:val="00B14035"/>
    <w:pPr>
      <w:numPr>
        <w:numId w:val="33"/>
      </w:numPr>
      <w:ind w:left="714" w:hanging="357"/>
      <w:contextualSpacing w:val="0"/>
    </w:pPr>
  </w:style>
  <w:style w:type="character" w:styleId="CommentReference">
    <w:name w:val="annotation reference"/>
    <w:basedOn w:val="DefaultParagraphFont"/>
    <w:uiPriority w:val="99"/>
    <w:semiHidden/>
    <w:unhideWhenUsed/>
    <w:rsid w:val="005D1C6A"/>
    <w:rPr>
      <w:sz w:val="16"/>
      <w:szCs w:val="16"/>
    </w:rPr>
  </w:style>
  <w:style w:type="paragraph" w:styleId="CommentText">
    <w:name w:val="annotation text"/>
    <w:basedOn w:val="Normal"/>
    <w:link w:val="CommentTextChar"/>
    <w:uiPriority w:val="99"/>
    <w:unhideWhenUsed/>
    <w:rsid w:val="00B14035"/>
    <w:rPr>
      <w:rFonts w:ascii="Arial" w:hAnsi="Arial" w:cs="Arial"/>
      <w:sz w:val="20"/>
      <w:szCs w:val="20"/>
    </w:rPr>
  </w:style>
  <w:style w:type="character" w:customStyle="1" w:styleId="CommentTextChar">
    <w:name w:val="Comment Text Char"/>
    <w:basedOn w:val="DefaultParagraphFont"/>
    <w:link w:val="CommentText"/>
    <w:uiPriority w:val="99"/>
    <w:rsid w:val="00B14035"/>
    <w:rPr>
      <w:rFonts w:ascii="Arial" w:eastAsia="Times New Roman" w:hAnsi="Arial" w:cs="Arial"/>
      <w:sz w:val="20"/>
      <w:szCs w:val="20"/>
      <w:lang w:val="en-US"/>
    </w:rPr>
  </w:style>
  <w:style w:type="paragraph" w:styleId="CommentSubject">
    <w:name w:val="annotation subject"/>
    <w:basedOn w:val="CommentText"/>
    <w:next w:val="CommentText"/>
    <w:link w:val="CommentSubjectChar"/>
    <w:uiPriority w:val="99"/>
    <w:semiHidden/>
    <w:unhideWhenUsed/>
    <w:rsid w:val="005D1C6A"/>
    <w:rPr>
      <w:b/>
      <w:bCs/>
    </w:rPr>
  </w:style>
  <w:style w:type="character" w:customStyle="1" w:styleId="CommentSubjectChar">
    <w:name w:val="Comment Subject Char"/>
    <w:basedOn w:val="CommentTextChar"/>
    <w:link w:val="CommentSubject"/>
    <w:uiPriority w:val="99"/>
    <w:semiHidden/>
    <w:rsid w:val="005D1C6A"/>
    <w:rPr>
      <w:rFonts w:ascii="Arial" w:eastAsia="Times New Roman" w:hAnsi="Arial" w:cs="Arial"/>
      <w:b/>
      <w:bCs/>
      <w:sz w:val="20"/>
      <w:szCs w:val="20"/>
      <w:lang w:val="en-US"/>
    </w:rPr>
  </w:style>
  <w:style w:type="paragraph" w:styleId="Header">
    <w:name w:val="header"/>
    <w:basedOn w:val="Normal"/>
    <w:link w:val="HeaderChar"/>
    <w:uiPriority w:val="99"/>
    <w:unhideWhenUsed/>
    <w:rsid w:val="00347715"/>
    <w:pPr>
      <w:tabs>
        <w:tab w:val="center" w:pos="4680"/>
        <w:tab w:val="right" w:pos="9360"/>
      </w:tabs>
    </w:pPr>
  </w:style>
  <w:style w:type="character" w:customStyle="1" w:styleId="HeaderChar">
    <w:name w:val="Header Char"/>
    <w:basedOn w:val="DefaultParagraphFont"/>
    <w:link w:val="Header"/>
    <w:uiPriority w:val="99"/>
    <w:rsid w:val="00347715"/>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347715"/>
    <w:pPr>
      <w:tabs>
        <w:tab w:val="center" w:pos="4680"/>
        <w:tab w:val="right" w:pos="9360"/>
      </w:tabs>
    </w:pPr>
  </w:style>
  <w:style w:type="character" w:customStyle="1" w:styleId="FooterChar">
    <w:name w:val="Footer Char"/>
    <w:basedOn w:val="DefaultParagraphFont"/>
    <w:link w:val="Footer"/>
    <w:uiPriority w:val="99"/>
    <w:rsid w:val="00347715"/>
    <w:rPr>
      <w:rFonts w:ascii="Times New Roman" w:eastAsia="Times New Roman" w:hAnsi="Times New Roman" w:cs="Times New Roman"/>
      <w:sz w:val="24"/>
      <w:szCs w:val="24"/>
      <w:lang w:val="en-US"/>
    </w:rPr>
  </w:style>
  <w:style w:type="paragraph" w:styleId="NormalWeb">
    <w:name w:val="Normal (Web)"/>
    <w:basedOn w:val="Normal"/>
    <w:uiPriority w:val="99"/>
    <w:semiHidden/>
    <w:unhideWhenUsed/>
    <w:rsid w:val="00B8625D"/>
    <w:pPr>
      <w:spacing w:before="100" w:beforeAutospacing="1" w:after="100" w:afterAutospacing="1"/>
    </w:pPr>
    <w:rPr>
      <w:lang w:val="en-CA" w:eastAsia="en-CA"/>
    </w:rPr>
  </w:style>
  <w:style w:type="character" w:customStyle="1" w:styleId="Heading2Char">
    <w:name w:val="Heading 2 Char"/>
    <w:basedOn w:val="DefaultParagraphFont"/>
    <w:link w:val="Heading2"/>
    <w:uiPriority w:val="9"/>
    <w:semiHidden/>
    <w:rsid w:val="00B8625D"/>
    <w:rPr>
      <w:rFonts w:asciiTheme="majorHAnsi" w:eastAsiaTheme="majorEastAsia" w:hAnsiTheme="majorHAnsi" w:cstheme="majorBidi"/>
      <w:color w:val="2E74B5" w:themeColor="accent1" w:themeShade="BF"/>
      <w:sz w:val="26"/>
      <w:szCs w:val="26"/>
      <w:lang w:val="en-US"/>
    </w:rPr>
  </w:style>
  <w:style w:type="character" w:styleId="Hyperlink">
    <w:name w:val="Hyperlink"/>
    <w:basedOn w:val="DefaultParagraphFont"/>
    <w:uiPriority w:val="99"/>
    <w:unhideWhenUsed/>
    <w:rsid w:val="00B8625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99025">
      <w:bodyDiv w:val="1"/>
      <w:marLeft w:val="0"/>
      <w:marRight w:val="0"/>
      <w:marTop w:val="0"/>
      <w:marBottom w:val="0"/>
      <w:divBdr>
        <w:top w:val="none" w:sz="0" w:space="0" w:color="auto"/>
        <w:left w:val="none" w:sz="0" w:space="0" w:color="auto"/>
        <w:bottom w:val="none" w:sz="0" w:space="0" w:color="auto"/>
        <w:right w:val="none" w:sz="0" w:space="0" w:color="auto"/>
      </w:divBdr>
    </w:div>
    <w:div w:id="600114252">
      <w:bodyDiv w:val="1"/>
      <w:marLeft w:val="0"/>
      <w:marRight w:val="0"/>
      <w:marTop w:val="0"/>
      <w:marBottom w:val="0"/>
      <w:divBdr>
        <w:top w:val="none" w:sz="0" w:space="0" w:color="auto"/>
        <w:left w:val="none" w:sz="0" w:space="0" w:color="auto"/>
        <w:bottom w:val="none" w:sz="0" w:space="0" w:color="auto"/>
        <w:right w:val="none" w:sz="0" w:space="0" w:color="auto"/>
      </w:divBdr>
    </w:div>
    <w:div w:id="652299650">
      <w:bodyDiv w:val="1"/>
      <w:marLeft w:val="0"/>
      <w:marRight w:val="0"/>
      <w:marTop w:val="0"/>
      <w:marBottom w:val="0"/>
      <w:divBdr>
        <w:top w:val="none" w:sz="0" w:space="0" w:color="auto"/>
        <w:left w:val="none" w:sz="0" w:space="0" w:color="auto"/>
        <w:bottom w:val="none" w:sz="0" w:space="0" w:color="auto"/>
        <w:right w:val="none" w:sz="0" w:space="0" w:color="auto"/>
      </w:divBdr>
    </w:div>
    <w:div w:id="877863376">
      <w:bodyDiv w:val="1"/>
      <w:marLeft w:val="0"/>
      <w:marRight w:val="0"/>
      <w:marTop w:val="0"/>
      <w:marBottom w:val="0"/>
      <w:divBdr>
        <w:top w:val="none" w:sz="0" w:space="0" w:color="auto"/>
        <w:left w:val="none" w:sz="0" w:space="0" w:color="auto"/>
        <w:bottom w:val="none" w:sz="0" w:space="0" w:color="auto"/>
        <w:right w:val="none" w:sz="0" w:space="0" w:color="auto"/>
      </w:divBdr>
    </w:div>
    <w:div w:id="972518601">
      <w:bodyDiv w:val="1"/>
      <w:marLeft w:val="0"/>
      <w:marRight w:val="0"/>
      <w:marTop w:val="0"/>
      <w:marBottom w:val="0"/>
      <w:divBdr>
        <w:top w:val="none" w:sz="0" w:space="0" w:color="auto"/>
        <w:left w:val="none" w:sz="0" w:space="0" w:color="auto"/>
        <w:bottom w:val="none" w:sz="0" w:space="0" w:color="auto"/>
        <w:right w:val="none" w:sz="0" w:space="0" w:color="auto"/>
      </w:divBdr>
    </w:div>
    <w:div w:id="1282760959">
      <w:bodyDiv w:val="1"/>
      <w:marLeft w:val="0"/>
      <w:marRight w:val="0"/>
      <w:marTop w:val="0"/>
      <w:marBottom w:val="0"/>
      <w:divBdr>
        <w:top w:val="none" w:sz="0" w:space="0" w:color="auto"/>
        <w:left w:val="none" w:sz="0" w:space="0" w:color="auto"/>
        <w:bottom w:val="none" w:sz="0" w:space="0" w:color="auto"/>
        <w:right w:val="none" w:sz="0" w:space="0" w:color="auto"/>
      </w:divBdr>
    </w:div>
    <w:div w:id="1714184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632</Words>
  <Characters>3609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College of Physiotherapists of Ontario</Company>
  <LinksUpToDate>false</LinksUpToDate>
  <CharactersWithSpaces>4233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Rod Hamilton</dc:creator>
  <cp:lastModifiedBy>Tova Wallace</cp:lastModifiedBy>
  <cp:revision>2</cp:revision>
  <cp:lastPrinted>2016-05-24T18:01:00Z</cp:lastPrinted>
  <dcterms:created xsi:type="dcterms:W3CDTF">2017-11-22T20:58:00Z</dcterms:created>
  <dcterms:modified xsi:type="dcterms:W3CDTF">2017-11-22T20:58:00Z</dcterms:modified>
</cp:coreProperties>
</file>