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6F4104" w14:textId="77777777" w:rsidR="0036584C" w:rsidRPr="00C551ED" w:rsidRDefault="00E4048E" w:rsidP="00B979B0">
      <w:pPr>
        <w:spacing w:before="20" w:afterLines="60" w:after="144" w:line="240" w:lineRule="auto"/>
        <w:jc w:val="center"/>
        <w:rPr>
          <w:b/>
          <w:color w:val="31849D"/>
          <w:sz w:val="36"/>
          <w:lang w:val="fr-FR"/>
        </w:rPr>
      </w:pPr>
      <w:r>
        <w:rPr>
          <w:b/>
          <w:color w:val="31849D"/>
          <w:sz w:val="36"/>
          <w:lang w:val="fr-FR"/>
        </w:rPr>
        <w:t>Norme sur la tenue de dossiers</w:t>
      </w:r>
    </w:p>
    <w:p w14:paraId="430F1BC6" w14:textId="77777777" w:rsidR="00B979B0" w:rsidRDefault="00B979B0" w:rsidP="00B979B0">
      <w:pPr>
        <w:pStyle w:val="NormalWeb"/>
        <w:spacing w:before="20" w:beforeAutospacing="0" w:afterLines="60" w:after="144" w:afterAutospacing="0"/>
        <w:rPr>
          <w:rStyle w:val="Strong"/>
          <w:rFonts w:asciiTheme="minorHAnsi" w:hAnsiTheme="minorHAnsi"/>
          <w:lang w:val="fr-FR"/>
        </w:rPr>
      </w:pPr>
      <w:bookmarkStart w:id="0" w:name="_GoBack"/>
      <w:bookmarkEnd w:id="0"/>
    </w:p>
    <w:p w14:paraId="345F9368" w14:textId="05E6A192" w:rsidR="00C551ED" w:rsidRPr="00C551ED" w:rsidRDefault="00C551ED" w:rsidP="00B979B0">
      <w:pPr>
        <w:pStyle w:val="NormalWeb"/>
        <w:spacing w:before="20" w:beforeAutospacing="0" w:afterLines="60" w:after="144" w:afterAutospacing="0"/>
        <w:rPr>
          <w:rStyle w:val="Strong"/>
          <w:rFonts w:asciiTheme="minorHAnsi" w:hAnsiTheme="minorHAnsi"/>
          <w:b w:val="0"/>
          <w:bCs w:val="0"/>
          <w:lang w:val="fr-FR"/>
        </w:rPr>
      </w:pPr>
      <w:r>
        <w:rPr>
          <w:rStyle w:val="Strong"/>
          <w:rFonts w:asciiTheme="minorHAnsi" w:hAnsiTheme="minorHAnsi"/>
          <w:lang w:val="fr-FR"/>
        </w:rPr>
        <w:t>Date d’approbation :</w:t>
      </w:r>
      <w:r w:rsidRPr="00C551ED">
        <w:rPr>
          <w:rFonts w:asciiTheme="minorHAnsi" w:hAnsiTheme="minorHAnsi"/>
          <w:lang w:val="fr-FR"/>
        </w:rPr>
        <w:t xml:space="preserve"> 28 septembre 2017</w:t>
      </w:r>
    </w:p>
    <w:p w14:paraId="4B785AFB" w14:textId="7BD11230" w:rsidR="00A94F3B" w:rsidRPr="00C551ED" w:rsidRDefault="00C551ED" w:rsidP="00B979B0">
      <w:pPr>
        <w:pStyle w:val="NormalWeb"/>
        <w:spacing w:before="20" w:beforeAutospacing="0" w:afterLines="60" w:after="144" w:afterAutospacing="0"/>
        <w:rPr>
          <w:rFonts w:asciiTheme="minorHAnsi" w:hAnsiTheme="minorHAnsi"/>
          <w:lang w:val="fr-FR"/>
        </w:rPr>
      </w:pPr>
      <w:r>
        <w:rPr>
          <w:rStyle w:val="Strong"/>
          <w:rFonts w:asciiTheme="minorHAnsi" w:hAnsiTheme="minorHAnsi"/>
          <w:lang w:val="fr-FR"/>
        </w:rPr>
        <w:t xml:space="preserve">Révisée : </w:t>
      </w:r>
      <w:r w:rsidRPr="00C551ED">
        <w:rPr>
          <w:rStyle w:val="Strong"/>
          <w:rFonts w:asciiTheme="minorHAnsi" w:hAnsiTheme="minorHAnsi"/>
          <w:b w:val="0"/>
          <w:lang w:val="fr-FR"/>
        </w:rPr>
        <w:t>1er novembre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8"/>
      </w:tblGrid>
      <w:tr w:rsidR="005709BF" w:rsidRPr="00432493" w14:paraId="5CC53B6A" w14:textId="77777777" w:rsidTr="009D6B10">
        <w:tc>
          <w:tcPr>
            <w:tcW w:w="9468" w:type="dxa"/>
          </w:tcPr>
          <w:p w14:paraId="35A9639B" w14:textId="77777777" w:rsidR="00B979B0" w:rsidRDefault="00B979B0" w:rsidP="00B979B0">
            <w:pPr>
              <w:spacing w:before="20" w:afterLines="60" w:after="144"/>
              <w:rPr>
                <w:b/>
                <w:color w:val="000000" w:themeColor="text1"/>
                <w:sz w:val="24"/>
                <w:lang w:val="fr-FR"/>
              </w:rPr>
            </w:pPr>
          </w:p>
          <w:p w14:paraId="60529FB1" w14:textId="69974CD3" w:rsidR="00E27C00" w:rsidRPr="005709BF" w:rsidRDefault="00E27C00" w:rsidP="00B979B0">
            <w:pPr>
              <w:spacing w:before="20" w:afterLines="60" w:after="144"/>
              <w:rPr>
                <w:b/>
                <w:color w:val="000000" w:themeColor="text1"/>
                <w:lang w:val="fr-FR"/>
              </w:rPr>
            </w:pPr>
            <w:r>
              <w:rPr>
                <w:b/>
                <w:color w:val="000000" w:themeColor="text1"/>
                <w:sz w:val="24"/>
                <w:lang w:val="fr-FR"/>
              </w:rPr>
              <w:t>L’objectif de la tenue de dossiers</w:t>
            </w:r>
          </w:p>
        </w:tc>
      </w:tr>
      <w:tr w:rsidR="005709BF" w:rsidRPr="00432493" w14:paraId="3488BCB7" w14:textId="77777777" w:rsidTr="009D6B10">
        <w:tc>
          <w:tcPr>
            <w:tcW w:w="9468" w:type="dxa"/>
          </w:tcPr>
          <w:p w14:paraId="158543DA" w14:textId="77777777" w:rsidR="00E27C00" w:rsidRPr="005709BF" w:rsidRDefault="00E27C00" w:rsidP="00B979B0">
            <w:pPr>
              <w:pStyle w:val="Bullets"/>
              <w:numPr>
                <w:ilvl w:val="0"/>
                <w:numId w:val="0"/>
              </w:numPr>
              <w:spacing w:before="20" w:afterLines="60" w:after="144"/>
              <w:rPr>
                <w:color w:val="000000" w:themeColor="text1"/>
                <w:lang w:val="fr-FR"/>
              </w:rPr>
            </w:pPr>
            <w:r>
              <w:rPr>
                <w:color w:val="000000" w:themeColor="text1"/>
                <w:lang w:val="fr-FR"/>
              </w:rPr>
              <w:t>Les dossiers cliniques sont d’importants outils de communication qui permettent aux physiothérapeutes et à d’autres personnes d’assurer un suivi de l’état actuel et passé d’un patient, de déterminer les besoins en matière de soins futurs, de consigner les soins qui sont administrés, de collaborer à la prestation des soins et de veiller à ce que le transfert des services de soins d’un patient se fasse en douceur. La bonne tenue de dossiers se traduit par de meilleurs résultats chez les patients et par l’amélioration de leur sécurité.</w:t>
            </w:r>
          </w:p>
        </w:tc>
      </w:tr>
      <w:tr w:rsidR="005709BF" w:rsidRPr="00432493" w14:paraId="687A0EA4" w14:textId="77777777" w:rsidTr="009D6B10">
        <w:tc>
          <w:tcPr>
            <w:tcW w:w="9468" w:type="dxa"/>
          </w:tcPr>
          <w:p w14:paraId="7CBC8CFF" w14:textId="77777777" w:rsidR="00E27C00" w:rsidRPr="005709BF" w:rsidRDefault="00E27C00" w:rsidP="00B979B0">
            <w:pPr>
              <w:pStyle w:val="Bullets"/>
              <w:numPr>
                <w:ilvl w:val="0"/>
                <w:numId w:val="0"/>
              </w:numPr>
              <w:spacing w:before="20" w:afterLines="60" w:after="144"/>
              <w:rPr>
                <w:color w:val="000000" w:themeColor="text1"/>
                <w:lang w:val="fr-FR"/>
              </w:rPr>
            </w:pPr>
            <w:r>
              <w:rPr>
                <w:color w:val="000000" w:themeColor="text1"/>
                <w:lang w:val="fr-FR"/>
              </w:rPr>
              <w:t>Les physiothérapeutes tiennent également des dossiers à d’autres fins, comme pour démontrer à leurs patients, à leurs payeurs, à l’Ordre des physiothérapeutes et à d’autres prestataires de soins de santé qu’ils assument leurs responsabilités à leur égard et pour se conformer aux exigences en matière de production de rapports requises par la loi ou par certains organismes.</w:t>
            </w:r>
          </w:p>
        </w:tc>
      </w:tr>
      <w:tr w:rsidR="005709BF" w:rsidRPr="00432493" w14:paraId="1F9AC8AE" w14:textId="77777777" w:rsidTr="009D6B10">
        <w:tc>
          <w:tcPr>
            <w:tcW w:w="9468" w:type="dxa"/>
          </w:tcPr>
          <w:p w14:paraId="2D909B19" w14:textId="77777777" w:rsidR="00E27C00" w:rsidRPr="005709BF" w:rsidRDefault="00E27C00" w:rsidP="00B979B0">
            <w:pPr>
              <w:spacing w:before="20" w:afterLines="60" w:after="144"/>
              <w:rPr>
                <w:color w:val="000000" w:themeColor="text1"/>
                <w:lang w:val="fr-FR"/>
              </w:rPr>
            </w:pPr>
            <w:r>
              <w:rPr>
                <w:color w:val="000000" w:themeColor="text1"/>
                <w:lang w:val="fr-FR"/>
              </w:rPr>
              <w:t>Les exigences de cette norme s’appliquent à tous les documents, peu importe leur format (papier, électronique, audio, vidéo et photographique).</w:t>
            </w:r>
          </w:p>
        </w:tc>
      </w:tr>
      <w:tr w:rsidR="005709BF" w:rsidRPr="00432493" w14:paraId="080F64C5" w14:textId="77777777" w:rsidTr="009D6B10">
        <w:tc>
          <w:tcPr>
            <w:tcW w:w="9468" w:type="dxa"/>
          </w:tcPr>
          <w:p w14:paraId="10117057" w14:textId="77777777" w:rsidR="00E27C00" w:rsidRPr="005709BF" w:rsidRDefault="00E27C00" w:rsidP="00B979B0">
            <w:pPr>
              <w:pStyle w:val="Bullets"/>
              <w:numPr>
                <w:ilvl w:val="0"/>
                <w:numId w:val="0"/>
              </w:numPr>
              <w:spacing w:before="20" w:afterLines="60" w:after="144"/>
              <w:rPr>
                <w:color w:val="000000" w:themeColor="text1"/>
                <w:lang w:val="fr-FR"/>
              </w:rPr>
            </w:pPr>
          </w:p>
        </w:tc>
      </w:tr>
      <w:tr w:rsidR="005709BF" w:rsidRPr="005709BF" w14:paraId="089CC981" w14:textId="77777777" w:rsidTr="009D6B10">
        <w:tc>
          <w:tcPr>
            <w:tcW w:w="9468" w:type="dxa"/>
          </w:tcPr>
          <w:p w14:paraId="51997EA8" w14:textId="663CB211" w:rsidR="00E27C00" w:rsidRPr="005709BF" w:rsidRDefault="00E27C00" w:rsidP="00B979B0">
            <w:pPr>
              <w:pStyle w:val="ListParagraph"/>
              <w:spacing w:before="20" w:afterLines="60" w:after="144"/>
              <w:ind w:left="461"/>
              <w:rPr>
                <w:color w:val="000000" w:themeColor="text1"/>
                <w:lang w:val="fr-FR"/>
              </w:rPr>
            </w:pPr>
            <w:r>
              <w:rPr>
                <w:color w:val="000000" w:themeColor="text1"/>
                <w:lang w:val="fr-FR"/>
              </w:rPr>
              <w:t>Responsabilité</w:t>
            </w:r>
          </w:p>
        </w:tc>
      </w:tr>
      <w:tr w:rsidR="005709BF" w:rsidRPr="00432493" w14:paraId="2F326DE3" w14:textId="77777777" w:rsidTr="009D6B10">
        <w:tc>
          <w:tcPr>
            <w:tcW w:w="9468" w:type="dxa"/>
          </w:tcPr>
          <w:p w14:paraId="01EAFE82" w14:textId="54FE8B37" w:rsidR="002B0215" w:rsidRPr="005709BF" w:rsidRDefault="00E27C00" w:rsidP="00B979B0">
            <w:pPr>
              <w:spacing w:before="20" w:afterLines="60" w:after="144"/>
              <w:rPr>
                <w:color w:val="000000" w:themeColor="text1"/>
                <w:lang w:val="fr-FR"/>
              </w:rPr>
            </w:pPr>
            <w:r>
              <w:rPr>
                <w:color w:val="000000" w:themeColor="text1"/>
                <w:lang w:val="fr-FR"/>
              </w:rPr>
              <w:t>Les physiothérapeutes se doivent de conserver des dossiers cliniques sur leurs patients et d’autres documents requis par la loi, par l’Ordre des physiothérapeutes ou par d’autres organismes.</w:t>
            </w:r>
          </w:p>
        </w:tc>
      </w:tr>
      <w:tr w:rsidR="005709BF" w:rsidRPr="00432493" w14:paraId="07DF8529" w14:textId="77777777" w:rsidTr="009D6B10">
        <w:tc>
          <w:tcPr>
            <w:tcW w:w="9468" w:type="dxa"/>
          </w:tcPr>
          <w:p w14:paraId="3CAE5AD6" w14:textId="77777777" w:rsidR="002B0215" w:rsidRPr="005709BF" w:rsidRDefault="002B0215" w:rsidP="00B979B0">
            <w:pPr>
              <w:spacing w:before="20" w:afterLines="60" w:after="144"/>
              <w:rPr>
                <w:color w:val="000000" w:themeColor="text1"/>
                <w:lang w:val="fr-FR"/>
              </w:rPr>
            </w:pPr>
          </w:p>
        </w:tc>
      </w:tr>
      <w:tr w:rsidR="005709BF" w:rsidRPr="00432493" w14:paraId="293E6F82" w14:textId="77777777" w:rsidTr="009D6B10">
        <w:tc>
          <w:tcPr>
            <w:tcW w:w="9468" w:type="dxa"/>
          </w:tcPr>
          <w:p w14:paraId="250418F7" w14:textId="3C24376D" w:rsidR="002B0215" w:rsidRPr="005709BF" w:rsidRDefault="002B0215" w:rsidP="00B979B0">
            <w:pPr>
              <w:pStyle w:val="ListParagraph"/>
              <w:spacing w:before="20" w:afterLines="60" w:after="144"/>
              <w:ind w:left="461"/>
              <w:rPr>
                <w:color w:val="000000" w:themeColor="text1"/>
                <w:lang w:val="fr-FR"/>
              </w:rPr>
            </w:pPr>
            <w:r>
              <w:rPr>
                <w:color w:val="000000" w:themeColor="text1"/>
                <w:lang w:val="fr-FR"/>
              </w:rPr>
              <w:t>Exigences générales pour tous les dossiers</w:t>
            </w:r>
          </w:p>
        </w:tc>
      </w:tr>
      <w:tr w:rsidR="005709BF" w:rsidRPr="00432493" w14:paraId="16A411AD" w14:textId="77777777" w:rsidTr="009D6B10">
        <w:tc>
          <w:tcPr>
            <w:tcW w:w="9468" w:type="dxa"/>
          </w:tcPr>
          <w:p w14:paraId="5B489568" w14:textId="77777777" w:rsidR="002B0215" w:rsidRPr="005709BF" w:rsidRDefault="002B0215" w:rsidP="00B979B0">
            <w:pPr>
              <w:spacing w:before="20" w:afterLines="60" w:after="144"/>
              <w:rPr>
                <w:color w:val="000000" w:themeColor="text1"/>
                <w:lang w:val="fr-FR"/>
              </w:rPr>
            </w:pPr>
            <w:r>
              <w:rPr>
                <w:color w:val="000000" w:themeColor="text1"/>
                <w:lang w:val="fr-FR"/>
              </w:rPr>
              <w:t>Les dossiers doivent être bien organisés, compréhensibles et précis.</w:t>
            </w:r>
          </w:p>
          <w:p w14:paraId="0A98A60E" w14:textId="46ADA884" w:rsidR="002B0215" w:rsidRPr="005709BF" w:rsidRDefault="002B0215" w:rsidP="00B979B0">
            <w:pPr>
              <w:pStyle w:val="Bullets"/>
              <w:numPr>
                <w:ilvl w:val="0"/>
                <w:numId w:val="0"/>
              </w:numPr>
              <w:spacing w:before="20" w:afterLines="60" w:after="144"/>
              <w:rPr>
                <w:b/>
                <w:color w:val="000000" w:themeColor="text1"/>
                <w:lang w:val="fr-FR"/>
              </w:rPr>
            </w:pPr>
            <w:r>
              <w:rPr>
                <w:b/>
                <w:color w:val="000000" w:themeColor="text1"/>
                <w:lang w:val="fr-FR"/>
              </w:rPr>
              <w:t>Bien organisés :</w:t>
            </w:r>
          </w:p>
          <w:p w14:paraId="1D271073" w14:textId="77777777" w:rsidR="002B0215" w:rsidRPr="005709BF" w:rsidRDefault="002B0215" w:rsidP="00B979B0">
            <w:pPr>
              <w:pStyle w:val="Bullets"/>
              <w:numPr>
                <w:ilvl w:val="0"/>
                <w:numId w:val="8"/>
              </w:numPr>
              <w:spacing w:before="20" w:afterLines="60" w:after="144"/>
              <w:rPr>
                <w:color w:val="000000" w:themeColor="text1"/>
                <w:lang w:val="fr-FR"/>
              </w:rPr>
            </w:pPr>
            <w:r>
              <w:rPr>
                <w:color w:val="000000" w:themeColor="text1"/>
                <w:lang w:val="fr-FR"/>
              </w:rPr>
              <w:t xml:space="preserve">les entrées doivent être datées; </w:t>
            </w:r>
          </w:p>
          <w:p w14:paraId="7EAEC971" w14:textId="77777777" w:rsidR="002B0215" w:rsidRPr="005709BF" w:rsidRDefault="002B0215" w:rsidP="00B979B0">
            <w:pPr>
              <w:pStyle w:val="Bullets"/>
              <w:numPr>
                <w:ilvl w:val="0"/>
                <w:numId w:val="8"/>
              </w:numPr>
              <w:spacing w:before="20" w:afterLines="60" w:after="144"/>
              <w:rPr>
                <w:color w:val="000000" w:themeColor="text1"/>
                <w:lang w:val="fr-FR"/>
              </w:rPr>
            </w:pPr>
            <w:r>
              <w:rPr>
                <w:color w:val="000000" w:themeColor="text1"/>
                <w:lang w:val="fr-FR"/>
              </w:rPr>
              <w:t>les entrées tardives doivent inclure la date de l’élément enregistré et la date de l’entrée;</w:t>
            </w:r>
          </w:p>
          <w:p w14:paraId="1272E0B3" w14:textId="77777777" w:rsidR="002B0215" w:rsidRPr="005709BF" w:rsidRDefault="002B0215" w:rsidP="00B979B0">
            <w:pPr>
              <w:pStyle w:val="Bullets"/>
              <w:numPr>
                <w:ilvl w:val="0"/>
                <w:numId w:val="8"/>
              </w:numPr>
              <w:spacing w:before="20" w:afterLines="60" w:after="144"/>
              <w:rPr>
                <w:color w:val="000000" w:themeColor="text1"/>
                <w:lang w:val="fr-FR"/>
              </w:rPr>
            </w:pPr>
            <w:r>
              <w:rPr>
                <w:color w:val="000000" w:themeColor="text1"/>
                <w:lang w:val="fr-FR"/>
              </w:rPr>
              <w:t>le prestataire de soins et la personne qui fait l’entrée doivent être identifiés par leur nom et leur titre ou par un identifiant unique.</w:t>
            </w:r>
          </w:p>
          <w:p w14:paraId="5C22F530" w14:textId="77777777" w:rsidR="002B0215" w:rsidRPr="005709BF" w:rsidRDefault="002B0215" w:rsidP="00B979B0">
            <w:pPr>
              <w:pStyle w:val="Bullets"/>
              <w:numPr>
                <w:ilvl w:val="0"/>
                <w:numId w:val="0"/>
              </w:numPr>
              <w:spacing w:before="20" w:afterLines="60" w:after="144"/>
              <w:rPr>
                <w:color w:val="000000" w:themeColor="text1"/>
                <w:lang w:val="fr-FR"/>
              </w:rPr>
            </w:pPr>
          </w:p>
          <w:p w14:paraId="44251B30" w14:textId="77777777" w:rsidR="002B0215" w:rsidRPr="005709BF" w:rsidRDefault="002B0215" w:rsidP="00B979B0">
            <w:pPr>
              <w:pStyle w:val="Bullets"/>
              <w:numPr>
                <w:ilvl w:val="0"/>
                <w:numId w:val="0"/>
              </w:numPr>
              <w:spacing w:before="20" w:afterLines="60" w:after="144"/>
              <w:rPr>
                <w:color w:val="000000" w:themeColor="text1"/>
                <w:lang w:val="fr-FR"/>
              </w:rPr>
            </w:pPr>
            <w:r>
              <w:rPr>
                <w:b/>
                <w:color w:val="000000" w:themeColor="text1"/>
                <w:lang w:val="fr-FR"/>
              </w:rPr>
              <w:t>Compréhensibles :</w:t>
            </w:r>
          </w:p>
          <w:p w14:paraId="5E90D7BA" w14:textId="77777777" w:rsidR="002B0215" w:rsidRPr="005709BF" w:rsidRDefault="002B0215" w:rsidP="00B979B0">
            <w:pPr>
              <w:pStyle w:val="Bullets"/>
              <w:numPr>
                <w:ilvl w:val="0"/>
                <w:numId w:val="9"/>
              </w:numPr>
              <w:spacing w:before="20" w:afterLines="60" w:after="144"/>
              <w:rPr>
                <w:color w:val="000000" w:themeColor="text1"/>
                <w:lang w:val="fr-FR"/>
              </w:rPr>
            </w:pPr>
            <w:r>
              <w:rPr>
                <w:color w:val="000000" w:themeColor="text1"/>
                <w:lang w:val="fr-FR"/>
              </w:rPr>
              <w:t>les entrées doivent être lisibles;</w:t>
            </w:r>
          </w:p>
          <w:p w14:paraId="75B0EBDC" w14:textId="77777777" w:rsidR="002B0215" w:rsidRPr="005709BF" w:rsidRDefault="002B0215" w:rsidP="00B979B0">
            <w:pPr>
              <w:pStyle w:val="Bullets"/>
              <w:numPr>
                <w:ilvl w:val="0"/>
                <w:numId w:val="9"/>
              </w:numPr>
              <w:spacing w:before="20" w:afterLines="60" w:after="144"/>
              <w:rPr>
                <w:color w:val="000000" w:themeColor="text1"/>
                <w:lang w:val="fr-FR"/>
              </w:rPr>
            </w:pPr>
            <w:r>
              <w:rPr>
                <w:color w:val="000000" w:themeColor="text1"/>
                <w:lang w:val="fr-FR"/>
              </w:rPr>
              <w:t>les termes spécialisés, les abréviations et les diagrammes doivent être compréhensibles pour toute personne impliquée dans les soins du patient. Cela peut se faire en incluant au dossier une liste définissant les termes, les abréviations et les diagrammes, ou en veillant à ce qu’une telle liste soit accessible;</w:t>
            </w:r>
          </w:p>
          <w:p w14:paraId="1F554957" w14:textId="77777777" w:rsidR="002B0215" w:rsidRPr="005709BF" w:rsidRDefault="002B0215" w:rsidP="00B979B0">
            <w:pPr>
              <w:pStyle w:val="Bullets"/>
              <w:numPr>
                <w:ilvl w:val="0"/>
                <w:numId w:val="9"/>
              </w:numPr>
              <w:spacing w:before="20" w:afterLines="60" w:after="144"/>
              <w:rPr>
                <w:color w:val="000000" w:themeColor="text1"/>
                <w:lang w:val="fr-FR"/>
              </w:rPr>
            </w:pPr>
            <w:r>
              <w:rPr>
                <w:color w:val="000000" w:themeColor="text1"/>
                <w:lang w:val="fr-FR"/>
              </w:rPr>
              <w:lastRenderedPageBreak/>
              <w:t>les dossiers doivent être rédigés en français ou en anglais;</w:t>
            </w:r>
          </w:p>
          <w:p w14:paraId="25EB502B" w14:textId="77777777" w:rsidR="002B0215" w:rsidRPr="005709BF" w:rsidRDefault="002B0215" w:rsidP="00B979B0">
            <w:pPr>
              <w:pStyle w:val="Bullets"/>
              <w:numPr>
                <w:ilvl w:val="0"/>
                <w:numId w:val="9"/>
              </w:numPr>
              <w:spacing w:before="20" w:afterLines="60" w:after="144"/>
              <w:rPr>
                <w:color w:val="000000" w:themeColor="text1"/>
                <w:lang w:val="fr-FR"/>
              </w:rPr>
            </w:pPr>
            <w:r>
              <w:rPr>
                <w:color w:val="000000" w:themeColor="text1"/>
                <w:lang w:val="fr-FR"/>
              </w:rPr>
              <w:t>les dossiers doivent être rédigés en termes appropriés, respectueux et sans jugement.</w:t>
            </w:r>
          </w:p>
          <w:p w14:paraId="4F6F58FD" w14:textId="77777777" w:rsidR="002B0215" w:rsidRPr="005709BF" w:rsidRDefault="002B0215" w:rsidP="00B979B0">
            <w:pPr>
              <w:pStyle w:val="Bullets"/>
              <w:numPr>
                <w:ilvl w:val="0"/>
                <w:numId w:val="0"/>
              </w:numPr>
              <w:spacing w:before="20" w:afterLines="60" w:after="144"/>
              <w:rPr>
                <w:b/>
                <w:color w:val="000000" w:themeColor="text1"/>
                <w:lang w:val="fr-FR"/>
              </w:rPr>
            </w:pPr>
          </w:p>
          <w:p w14:paraId="7DB5B3CE" w14:textId="77777777" w:rsidR="002B0215" w:rsidRPr="005709BF" w:rsidRDefault="002B0215" w:rsidP="00B979B0">
            <w:pPr>
              <w:pStyle w:val="Bullets"/>
              <w:numPr>
                <w:ilvl w:val="0"/>
                <w:numId w:val="0"/>
              </w:numPr>
              <w:spacing w:before="20" w:afterLines="60" w:after="144"/>
              <w:rPr>
                <w:b/>
                <w:color w:val="000000" w:themeColor="text1"/>
                <w:lang w:val="fr-FR"/>
              </w:rPr>
            </w:pPr>
            <w:r>
              <w:rPr>
                <w:b/>
                <w:color w:val="000000" w:themeColor="text1"/>
                <w:lang w:val="fr-FR"/>
              </w:rPr>
              <w:t>Précis :</w:t>
            </w:r>
          </w:p>
          <w:p w14:paraId="3EBFD421" w14:textId="77777777" w:rsidR="002B0215" w:rsidRPr="005709BF" w:rsidRDefault="002B0215" w:rsidP="00B979B0">
            <w:pPr>
              <w:pStyle w:val="Bullets"/>
              <w:spacing w:before="20" w:afterLines="60" w:after="144"/>
              <w:ind w:left="357" w:hanging="357"/>
              <w:rPr>
                <w:color w:val="000000" w:themeColor="text1"/>
                <w:lang w:val="fr-FR"/>
              </w:rPr>
            </w:pPr>
            <w:r>
              <w:rPr>
                <w:color w:val="000000" w:themeColor="text1"/>
                <w:lang w:val="fr-FR"/>
              </w:rPr>
              <w:t>l’information doit être entrée dans un délai raisonnable;</w:t>
            </w:r>
          </w:p>
          <w:p w14:paraId="6039DE36" w14:textId="77777777" w:rsidR="002B0215" w:rsidRPr="005709BF" w:rsidRDefault="002B0215" w:rsidP="00B979B0">
            <w:pPr>
              <w:pStyle w:val="Bullets"/>
              <w:spacing w:before="20" w:afterLines="60" w:after="144"/>
              <w:ind w:left="357" w:hanging="357"/>
              <w:rPr>
                <w:color w:val="000000" w:themeColor="text1"/>
                <w:lang w:val="fr-FR"/>
              </w:rPr>
            </w:pPr>
            <w:r>
              <w:rPr>
                <w:color w:val="000000" w:themeColor="text1"/>
                <w:lang w:val="fr-FR"/>
              </w:rPr>
              <w:t>les entrées doivent être permanentes.  Cela signifie qu’il doit exister un moyen de veiller à ce que le contenu ne soit ni perdu ni supprimé;</w:t>
            </w:r>
          </w:p>
          <w:p w14:paraId="270EB0DC" w14:textId="47139D7C" w:rsidR="002B0215" w:rsidRPr="005709BF" w:rsidRDefault="002B0215" w:rsidP="00B979B0">
            <w:pPr>
              <w:pStyle w:val="Bullets"/>
              <w:spacing w:before="20" w:afterLines="60" w:after="144"/>
              <w:ind w:left="357" w:hanging="357"/>
              <w:rPr>
                <w:color w:val="000000" w:themeColor="text1"/>
                <w:lang w:val="fr-FR"/>
              </w:rPr>
            </w:pPr>
            <w:r>
              <w:rPr>
                <w:color w:val="000000" w:themeColor="text1"/>
                <w:lang w:val="fr-FR"/>
              </w:rPr>
              <w:t>si des corrections ou des additions sont apportées à l’entrée, le contenu d’origine doit demeurer lisible. Le nouveau contenu doit permettre d’identifier la personne qui a apporté la correction ou l’addition, la date à laquelle elle a été faite ainsi que la raison pour celle-ci;</w:t>
            </w:r>
          </w:p>
          <w:p w14:paraId="79A3A955" w14:textId="77777777" w:rsidR="002B0215" w:rsidRPr="005709BF" w:rsidRDefault="002B0215" w:rsidP="00B979B0">
            <w:pPr>
              <w:pStyle w:val="Bullets"/>
              <w:spacing w:before="20" w:afterLines="60" w:after="144"/>
              <w:ind w:left="357" w:hanging="357"/>
              <w:rPr>
                <w:color w:val="000000" w:themeColor="text1"/>
                <w:lang w:val="fr-FR"/>
              </w:rPr>
            </w:pPr>
            <w:r>
              <w:rPr>
                <w:color w:val="000000" w:themeColor="text1"/>
                <w:lang w:val="fr-FR"/>
              </w:rPr>
              <w:t>si l’état du patient change de manière importante ou si de nouvelles informations pertinentes sont reçues, cela doit être entré au dossier à titre d’information à jour.</w:t>
            </w:r>
          </w:p>
        </w:tc>
      </w:tr>
      <w:tr w:rsidR="005709BF" w:rsidRPr="00432493" w14:paraId="4A4B3A4E" w14:textId="77777777" w:rsidTr="009D6B10">
        <w:tc>
          <w:tcPr>
            <w:tcW w:w="9468" w:type="dxa"/>
          </w:tcPr>
          <w:p w14:paraId="2F46CDA0" w14:textId="77777777" w:rsidR="002B0215" w:rsidRPr="005709BF" w:rsidRDefault="002B0215" w:rsidP="00B979B0">
            <w:pPr>
              <w:pStyle w:val="ListParagraph"/>
              <w:numPr>
                <w:ilvl w:val="0"/>
                <w:numId w:val="0"/>
              </w:numPr>
              <w:spacing w:before="20" w:afterLines="60" w:after="144"/>
              <w:ind w:left="437"/>
              <w:rPr>
                <w:color w:val="000000" w:themeColor="text1"/>
                <w:lang w:val="fr-FR"/>
              </w:rPr>
            </w:pPr>
          </w:p>
        </w:tc>
      </w:tr>
      <w:tr w:rsidR="005709BF" w:rsidRPr="00432493" w14:paraId="3F925708" w14:textId="77777777" w:rsidTr="009D6B10">
        <w:tc>
          <w:tcPr>
            <w:tcW w:w="9468" w:type="dxa"/>
          </w:tcPr>
          <w:p w14:paraId="4308B19B" w14:textId="5E03ED7C" w:rsidR="002B0215" w:rsidRPr="005709BF" w:rsidRDefault="002B0215" w:rsidP="00B979B0">
            <w:pPr>
              <w:pStyle w:val="ListParagraph"/>
              <w:spacing w:before="20" w:afterLines="60" w:after="144"/>
              <w:ind w:left="461"/>
              <w:rPr>
                <w:color w:val="000000" w:themeColor="text1"/>
                <w:lang w:val="fr-FR"/>
              </w:rPr>
            </w:pPr>
            <w:r>
              <w:rPr>
                <w:color w:val="000000" w:themeColor="text1"/>
                <w:lang w:val="fr-FR"/>
              </w:rPr>
              <w:t>Exigences en matière de dossiers cliniques</w:t>
            </w:r>
          </w:p>
        </w:tc>
      </w:tr>
      <w:tr w:rsidR="005709BF" w:rsidRPr="00432493" w14:paraId="63B40A78" w14:textId="77777777" w:rsidTr="009D6B10">
        <w:tc>
          <w:tcPr>
            <w:tcW w:w="9468" w:type="dxa"/>
          </w:tcPr>
          <w:p w14:paraId="6C21B1EF" w14:textId="77777777" w:rsidR="002B0215" w:rsidRPr="005709BF" w:rsidRDefault="002B0215" w:rsidP="00B979B0">
            <w:pPr>
              <w:spacing w:before="20" w:afterLines="60" w:after="144"/>
              <w:rPr>
                <w:color w:val="000000" w:themeColor="text1"/>
                <w:lang w:val="fr-FR"/>
              </w:rPr>
            </w:pPr>
            <w:r>
              <w:rPr>
                <w:color w:val="000000" w:themeColor="text1"/>
                <w:lang w:val="fr-FR"/>
              </w:rPr>
              <w:t>Les informations figurant dans les dossiers cliniques doivent appuyer les raisons pour lesquelles les physiothérapeutes fournissent des soins.</w:t>
            </w:r>
          </w:p>
        </w:tc>
      </w:tr>
      <w:tr w:rsidR="005709BF" w:rsidRPr="00432493" w14:paraId="34E015A6" w14:textId="77777777" w:rsidTr="009D6B10">
        <w:tc>
          <w:tcPr>
            <w:tcW w:w="9468" w:type="dxa"/>
          </w:tcPr>
          <w:p w14:paraId="0D02861F" w14:textId="77777777" w:rsidR="002B0215" w:rsidRPr="005709BF" w:rsidRDefault="002B0215" w:rsidP="00B979B0">
            <w:pPr>
              <w:spacing w:before="20" w:afterLines="60" w:after="144"/>
              <w:rPr>
                <w:color w:val="000000" w:themeColor="text1"/>
                <w:lang w:val="fr-FR"/>
              </w:rPr>
            </w:pPr>
            <w:r>
              <w:rPr>
                <w:color w:val="000000" w:themeColor="text1"/>
                <w:lang w:val="fr-FR"/>
              </w:rPr>
              <w:t>Lorsque cela est possible et approprié, les dossiers cliniques doivent contenir des données, des preuves et des mesures de résultats impartiales. Ils devraient également inclure des informations permettant à tous ceux qui sont impliqués dans les soins du patient d’interpréter les données ou les mesures, le cas échéant.</w:t>
            </w:r>
          </w:p>
        </w:tc>
      </w:tr>
      <w:tr w:rsidR="005709BF" w:rsidRPr="00432493" w14:paraId="2F72B083" w14:textId="77777777" w:rsidTr="009D6B10">
        <w:tc>
          <w:tcPr>
            <w:tcW w:w="9468" w:type="dxa"/>
          </w:tcPr>
          <w:p w14:paraId="13AB5899" w14:textId="77777777" w:rsidR="002B0215" w:rsidRPr="005709BF" w:rsidRDefault="002B0215" w:rsidP="00B979B0">
            <w:pPr>
              <w:spacing w:before="20" w:afterLines="60" w:after="144"/>
              <w:rPr>
                <w:color w:val="000000" w:themeColor="text1"/>
                <w:lang w:val="fr-FR"/>
              </w:rPr>
            </w:pPr>
            <w:r>
              <w:rPr>
                <w:color w:val="000000" w:themeColor="text1"/>
                <w:lang w:val="fr-FR"/>
              </w:rPr>
              <w:t>Les dossiers cliniques doivent comporter des informations pertinentes et suffisamment détaillées sur les soins administrés à un patient pour permettre à un autre prestataire de soins de prendre soin du patient ou d’assurer la continuité des soins.</w:t>
            </w:r>
          </w:p>
        </w:tc>
      </w:tr>
      <w:tr w:rsidR="005709BF" w:rsidRPr="00432493" w14:paraId="031954F5" w14:textId="77777777" w:rsidTr="009D6B10">
        <w:tc>
          <w:tcPr>
            <w:tcW w:w="9468" w:type="dxa"/>
            <w:shd w:val="clear" w:color="auto" w:fill="auto"/>
          </w:tcPr>
          <w:p w14:paraId="5DEA5DA4" w14:textId="77777777" w:rsidR="002B0215" w:rsidRPr="005709BF" w:rsidRDefault="002B0215" w:rsidP="00B979B0">
            <w:pPr>
              <w:spacing w:before="20" w:afterLines="60" w:after="144"/>
              <w:rPr>
                <w:color w:val="000000" w:themeColor="text1"/>
                <w:lang w:val="fr-FR"/>
              </w:rPr>
            </w:pPr>
            <w:r>
              <w:rPr>
                <w:color w:val="000000" w:themeColor="text1"/>
                <w:lang w:val="fr-FR"/>
              </w:rPr>
              <w:t>L’information pertinente en ce qui concerne les soins administrés à un patient comprend, mais sans s’y limiter :</w:t>
            </w:r>
          </w:p>
          <w:p w14:paraId="0317446F" w14:textId="77777777" w:rsidR="002B0215" w:rsidRPr="005709BF" w:rsidRDefault="002B0215" w:rsidP="00B979B0">
            <w:pPr>
              <w:pStyle w:val="Bullets"/>
              <w:spacing w:before="20" w:afterLines="60" w:after="144"/>
              <w:ind w:left="357" w:hanging="357"/>
              <w:rPr>
                <w:color w:val="000000" w:themeColor="text1"/>
                <w:lang w:val="fr-FR"/>
              </w:rPr>
            </w:pPr>
            <w:r>
              <w:rPr>
                <w:color w:val="000000" w:themeColor="text1"/>
                <w:lang w:val="fr-FR"/>
              </w:rPr>
              <w:t>des identificateurs uniques pour le patient et pour tous les fournisseurs de soins;</w:t>
            </w:r>
          </w:p>
          <w:p w14:paraId="2EA9005C" w14:textId="77777777" w:rsidR="002B0215" w:rsidRPr="005709BF" w:rsidRDefault="002B0215" w:rsidP="00B979B0">
            <w:pPr>
              <w:pStyle w:val="Bullets"/>
              <w:spacing w:before="20" w:afterLines="60" w:after="144"/>
              <w:ind w:left="357" w:hanging="357"/>
              <w:rPr>
                <w:color w:val="000000" w:themeColor="text1"/>
                <w:lang w:val="fr-FR"/>
              </w:rPr>
            </w:pPr>
            <w:r>
              <w:rPr>
                <w:color w:val="000000" w:themeColor="text1"/>
                <w:lang w:val="fr-FR"/>
              </w:rPr>
              <w:t>des renseignements sur le patient : données démographiques, historique médical, familial et social, et données subjectives fournies par les patients;</w:t>
            </w:r>
          </w:p>
          <w:p w14:paraId="247F9F72" w14:textId="77777777" w:rsidR="002B0215" w:rsidRPr="005709BF" w:rsidRDefault="002B0215" w:rsidP="00B979B0">
            <w:pPr>
              <w:pStyle w:val="Bullets"/>
              <w:spacing w:before="20" w:afterLines="60" w:after="144"/>
              <w:ind w:left="357" w:hanging="357"/>
              <w:rPr>
                <w:color w:val="000000" w:themeColor="text1"/>
                <w:lang w:val="fr-FR"/>
              </w:rPr>
            </w:pPr>
            <w:r>
              <w:rPr>
                <w:color w:val="000000" w:themeColor="text1"/>
                <w:lang w:val="fr-FR"/>
              </w:rPr>
              <w:t>les discussions avec le patient pour obtenir son consentement continu à l’égard de l’évaluation, du traitement et de la participation d’autres fournisseurs de soins;</w:t>
            </w:r>
          </w:p>
          <w:p w14:paraId="4F14909C" w14:textId="77777777" w:rsidR="002B0215" w:rsidRPr="005709BF" w:rsidRDefault="002B0215" w:rsidP="00B979B0">
            <w:pPr>
              <w:pStyle w:val="Bullets"/>
              <w:spacing w:before="20" w:afterLines="60" w:after="144"/>
              <w:ind w:left="357" w:hanging="357"/>
              <w:rPr>
                <w:color w:val="000000" w:themeColor="text1"/>
                <w:lang w:val="fr-FR"/>
              </w:rPr>
            </w:pPr>
            <w:r>
              <w:rPr>
                <w:color w:val="000000" w:themeColor="text1"/>
                <w:lang w:val="fr-FR"/>
              </w:rPr>
              <w:t xml:space="preserve">le refus de soins; </w:t>
            </w:r>
          </w:p>
          <w:p w14:paraId="62FC935A" w14:textId="77777777" w:rsidR="002B0215" w:rsidRPr="005709BF" w:rsidRDefault="002B0215" w:rsidP="00B979B0">
            <w:pPr>
              <w:pStyle w:val="Bullets"/>
              <w:spacing w:before="20" w:afterLines="60" w:after="144"/>
              <w:ind w:left="357" w:hanging="357"/>
              <w:rPr>
                <w:color w:val="000000" w:themeColor="text1"/>
                <w:lang w:val="fr-FR"/>
              </w:rPr>
            </w:pPr>
            <w:r>
              <w:rPr>
                <w:color w:val="000000" w:themeColor="text1"/>
                <w:lang w:val="fr-FR"/>
              </w:rPr>
              <w:t>la date de chaque rencontre avec le patient, y compris les rendez-vous manqués;</w:t>
            </w:r>
          </w:p>
          <w:p w14:paraId="0EADC601" w14:textId="77777777" w:rsidR="002B0215" w:rsidRPr="005709BF" w:rsidRDefault="002B0215" w:rsidP="00B979B0">
            <w:pPr>
              <w:pStyle w:val="Bullets"/>
              <w:spacing w:before="20" w:afterLines="60" w:after="144"/>
              <w:ind w:left="357" w:hanging="357"/>
              <w:rPr>
                <w:color w:val="000000" w:themeColor="text1"/>
                <w:lang w:val="fr-FR"/>
              </w:rPr>
            </w:pPr>
            <w:r>
              <w:rPr>
                <w:color w:val="000000" w:themeColor="text1"/>
                <w:lang w:val="fr-FR"/>
              </w:rPr>
              <w:t>les résultats des tests, des enquêtes, des évaluations, des mesures et de tous les rapports reçus concernant les soins du patient;</w:t>
            </w:r>
          </w:p>
          <w:p w14:paraId="3B91D3D4" w14:textId="77777777" w:rsidR="002B0215" w:rsidRPr="005709BF" w:rsidRDefault="002B0215" w:rsidP="00B979B0">
            <w:pPr>
              <w:pStyle w:val="Bullets"/>
              <w:spacing w:before="20" w:afterLines="60" w:after="144"/>
              <w:ind w:left="357" w:hanging="357"/>
              <w:rPr>
                <w:color w:val="000000" w:themeColor="text1"/>
                <w:lang w:val="fr-FR"/>
              </w:rPr>
            </w:pPr>
            <w:r>
              <w:rPr>
                <w:color w:val="000000" w:themeColor="text1"/>
                <w:lang w:val="fr-FR"/>
              </w:rPr>
              <w:t xml:space="preserve">des détails sur l’analyse, le diagnostic, les objectifs du patient, le plan de traitement et les traitements administrés; </w:t>
            </w:r>
          </w:p>
          <w:p w14:paraId="64784015" w14:textId="77777777" w:rsidR="002B0215" w:rsidRPr="005709BF" w:rsidRDefault="002B0215" w:rsidP="00B979B0">
            <w:pPr>
              <w:pStyle w:val="Bullets"/>
              <w:spacing w:before="20" w:afterLines="60" w:after="144"/>
              <w:ind w:left="357" w:hanging="357"/>
              <w:rPr>
                <w:color w:val="000000" w:themeColor="text1"/>
                <w:lang w:val="fr-FR"/>
              </w:rPr>
            </w:pPr>
            <w:r>
              <w:rPr>
                <w:color w:val="000000" w:themeColor="text1"/>
                <w:lang w:val="fr-FR"/>
              </w:rPr>
              <w:t>les notes d’évolution, les résultats, les réévaluations et les changements au plan de traitement qui en découlent;</w:t>
            </w:r>
          </w:p>
          <w:p w14:paraId="743F5E30" w14:textId="77777777" w:rsidR="002B0215" w:rsidRPr="005709BF" w:rsidRDefault="002B0215" w:rsidP="00B979B0">
            <w:pPr>
              <w:pStyle w:val="Bullets"/>
              <w:spacing w:before="20" w:afterLines="60" w:after="144"/>
              <w:ind w:left="357" w:hanging="357"/>
              <w:rPr>
                <w:color w:val="000000" w:themeColor="text1"/>
                <w:lang w:val="fr-FR"/>
              </w:rPr>
            </w:pPr>
            <w:r>
              <w:rPr>
                <w:color w:val="000000" w:themeColor="text1"/>
                <w:lang w:val="fr-FR"/>
              </w:rPr>
              <w:t>les détails sur les soins administrés par une autre personne ou sur les soins administrés conjointement avec d’autres prestataires de soins de santé, y compris les consultations et la correspondance;</w:t>
            </w:r>
          </w:p>
          <w:p w14:paraId="3E0D3B3E" w14:textId="77777777" w:rsidR="002B0215" w:rsidRPr="005709BF" w:rsidRDefault="002B0215" w:rsidP="00B979B0">
            <w:pPr>
              <w:pStyle w:val="Bullets"/>
              <w:spacing w:before="20" w:afterLines="60" w:after="144"/>
              <w:ind w:left="357" w:hanging="357"/>
              <w:rPr>
                <w:color w:val="000000" w:themeColor="text1"/>
                <w:lang w:val="fr-FR"/>
              </w:rPr>
            </w:pPr>
            <w:r>
              <w:rPr>
                <w:color w:val="000000" w:themeColor="text1"/>
                <w:lang w:val="fr-FR"/>
              </w:rPr>
              <w:t xml:space="preserve">les discussions et les communications avec le patient, y compris les instructions, les </w:t>
            </w:r>
            <w:r>
              <w:rPr>
                <w:color w:val="000000" w:themeColor="text1"/>
                <w:lang w:val="fr-FR"/>
              </w:rPr>
              <w:lastRenderedPageBreak/>
              <w:t>recommandations et les conseils;</w:t>
            </w:r>
          </w:p>
          <w:p w14:paraId="1CA69144" w14:textId="4C3358F2" w:rsidR="002B0215" w:rsidRPr="005709BF" w:rsidRDefault="002B0215" w:rsidP="00B979B0">
            <w:pPr>
              <w:pStyle w:val="Bullets"/>
              <w:spacing w:before="20" w:afterLines="60" w:after="144"/>
              <w:ind w:left="357" w:hanging="357"/>
              <w:rPr>
                <w:color w:val="000000" w:themeColor="text1"/>
                <w:lang w:val="fr-FR"/>
              </w:rPr>
            </w:pPr>
            <w:r>
              <w:rPr>
                <w:color w:val="000000" w:themeColor="text1"/>
                <w:lang w:val="fr-FR"/>
              </w:rPr>
              <w:t>le renvoi et le transfert des soins et des rapports ayant trait au traitement du patient vers un autre prestataire de soins de santé;</w:t>
            </w:r>
          </w:p>
          <w:p w14:paraId="3D1FAC14" w14:textId="77777777" w:rsidR="002B0215" w:rsidRPr="005709BF" w:rsidRDefault="002B0215" w:rsidP="00B979B0">
            <w:pPr>
              <w:pStyle w:val="Bullets"/>
              <w:spacing w:before="20" w:afterLines="60" w:after="144"/>
              <w:ind w:left="357" w:hanging="357"/>
              <w:rPr>
                <w:color w:val="000000" w:themeColor="text1"/>
                <w:lang w:val="fr-FR"/>
              </w:rPr>
            </w:pPr>
            <w:r>
              <w:rPr>
                <w:color w:val="000000" w:themeColor="text1"/>
                <w:lang w:val="fr-FR"/>
              </w:rPr>
              <w:t>les rapports de décharge des patients, y compris les conclusions des réévaluations, les raisons pour le congé de l’hôpital et d’autres recommandations.</w:t>
            </w:r>
          </w:p>
        </w:tc>
      </w:tr>
      <w:tr w:rsidR="005709BF" w:rsidRPr="00432493" w14:paraId="374E099F" w14:textId="77777777" w:rsidTr="009D6B10">
        <w:tc>
          <w:tcPr>
            <w:tcW w:w="9468" w:type="dxa"/>
          </w:tcPr>
          <w:p w14:paraId="0851704E" w14:textId="2EDD2AC4" w:rsidR="002B0215" w:rsidRPr="005709BF" w:rsidRDefault="002B0215" w:rsidP="00B979B0">
            <w:pPr>
              <w:spacing w:before="20" w:afterLines="60" w:after="144"/>
              <w:rPr>
                <w:color w:val="000000" w:themeColor="text1"/>
                <w:lang w:val="fr-FR"/>
              </w:rPr>
            </w:pPr>
          </w:p>
        </w:tc>
      </w:tr>
      <w:tr w:rsidR="005709BF" w:rsidRPr="00432493" w14:paraId="298A6A0F" w14:textId="77777777" w:rsidTr="009D6B10">
        <w:tc>
          <w:tcPr>
            <w:tcW w:w="9468" w:type="dxa"/>
          </w:tcPr>
          <w:p w14:paraId="47D3F5D3" w14:textId="55B378AC" w:rsidR="002B0215" w:rsidRPr="005709BF" w:rsidRDefault="002B0215" w:rsidP="00B979B0">
            <w:pPr>
              <w:pStyle w:val="ListParagraph"/>
              <w:spacing w:before="20" w:afterLines="60" w:after="144"/>
              <w:ind w:left="461"/>
              <w:rPr>
                <w:color w:val="000000" w:themeColor="text1"/>
                <w:lang w:val="fr-FR"/>
              </w:rPr>
            </w:pPr>
            <w:r>
              <w:rPr>
                <w:color w:val="000000" w:themeColor="text1"/>
                <w:lang w:val="fr-FR"/>
              </w:rPr>
              <w:t>Exigences en matière de registres financiers</w:t>
            </w:r>
          </w:p>
        </w:tc>
      </w:tr>
      <w:tr w:rsidR="005709BF" w:rsidRPr="005709BF" w14:paraId="48B09250" w14:textId="77777777" w:rsidTr="009D6B10">
        <w:tc>
          <w:tcPr>
            <w:tcW w:w="9468" w:type="dxa"/>
          </w:tcPr>
          <w:p w14:paraId="3E138316" w14:textId="31E3E5DF" w:rsidR="002B0215" w:rsidRPr="005709BF" w:rsidRDefault="002B0215" w:rsidP="00B979B0">
            <w:pPr>
              <w:spacing w:before="20" w:afterLines="60" w:after="144"/>
              <w:rPr>
                <w:color w:val="000000" w:themeColor="text1"/>
                <w:lang w:val="fr-FR"/>
              </w:rPr>
            </w:pPr>
            <w:r>
              <w:rPr>
                <w:color w:val="000000" w:themeColor="text1"/>
                <w:lang w:val="fr-FR"/>
              </w:rPr>
              <w:t>Les physiothérapeutes qui exigent des frais pour des soins, des services ou des produits qu’ils fournissent doivent veiller à ce qu’il existe des registres financiers comprenant :</w:t>
            </w:r>
          </w:p>
          <w:p w14:paraId="0D98C155" w14:textId="77777777" w:rsidR="002B0215" w:rsidRPr="005709BF" w:rsidRDefault="002B0215" w:rsidP="00B979B0">
            <w:pPr>
              <w:pStyle w:val="Bullets"/>
              <w:spacing w:before="20" w:afterLines="60" w:after="144"/>
              <w:ind w:left="357" w:hanging="357"/>
              <w:rPr>
                <w:color w:val="000000" w:themeColor="text1"/>
                <w:lang w:val="fr-FR"/>
              </w:rPr>
            </w:pPr>
            <w:r>
              <w:rPr>
                <w:color w:val="000000" w:themeColor="text1"/>
                <w:lang w:val="fr-FR"/>
              </w:rPr>
              <w:t>le nom du patient;</w:t>
            </w:r>
          </w:p>
          <w:p w14:paraId="383D814B" w14:textId="10DACBC1" w:rsidR="002B0215" w:rsidRPr="005709BF" w:rsidRDefault="002B0215" w:rsidP="00B979B0">
            <w:pPr>
              <w:pStyle w:val="Bullets"/>
              <w:spacing w:before="20" w:afterLines="60" w:after="144"/>
              <w:ind w:left="357" w:hanging="357"/>
              <w:rPr>
                <w:color w:val="000000" w:themeColor="text1"/>
                <w:lang w:val="fr-FR"/>
              </w:rPr>
            </w:pPr>
            <w:r>
              <w:rPr>
                <w:color w:val="000000" w:themeColor="text1"/>
                <w:lang w:val="fr-FR"/>
              </w:rPr>
              <w:t>le nom du physiothérapeute, de l’aide-physiothérapeute et des autres personnes ayant fourni des soins au patient sous la supervision du physiothérapeute;</w:t>
            </w:r>
          </w:p>
          <w:p w14:paraId="2A95E28E" w14:textId="77777777" w:rsidR="002B0215" w:rsidRPr="005709BF" w:rsidRDefault="002B0215" w:rsidP="00B979B0">
            <w:pPr>
              <w:pStyle w:val="Bullets"/>
              <w:spacing w:before="20" w:afterLines="60" w:after="144"/>
              <w:ind w:left="357" w:hanging="357"/>
              <w:rPr>
                <w:color w:val="000000" w:themeColor="text1"/>
                <w:lang w:val="fr-FR"/>
              </w:rPr>
            </w:pPr>
            <w:r>
              <w:rPr>
                <w:color w:val="000000" w:themeColor="text1"/>
                <w:lang w:val="fr-FR"/>
              </w:rPr>
              <w:t>la date à laquelle les soins ont été administrés;</w:t>
            </w:r>
          </w:p>
          <w:p w14:paraId="53211FED" w14:textId="77777777" w:rsidR="002B0215" w:rsidRPr="005709BF" w:rsidRDefault="002B0215" w:rsidP="00B979B0">
            <w:pPr>
              <w:pStyle w:val="Bullets"/>
              <w:spacing w:before="20" w:afterLines="60" w:after="144"/>
              <w:ind w:left="357" w:hanging="357"/>
              <w:rPr>
                <w:color w:val="000000" w:themeColor="text1"/>
                <w:lang w:val="fr-FR"/>
              </w:rPr>
            </w:pPr>
            <w:r>
              <w:rPr>
                <w:color w:val="000000" w:themeColor="text1"/>
                <w:lang w:val="fr-FR"/>
              </w:rPr>
              <w:t>une description des soins, des services ou des produits fournis;</w:t>
            </w:r>
          </w:p>
          <w:p w14:paraId="38D2A5BC" w14:textId="77777777" w:rsidR="002B0215" w:rsidRPr="005709BF" w:rsidRDefault="002B0215" w:rsidP="00B979B0">
            <w:pPr>
              <w:pStyle w:val="Bullets"/>
              <w:spacing w:before="20" w:afterLines="60" w:after="144"/>
              <w:ind w:left="357" w:hanging="357"/>
              <w:rPr>
                <w:color w:val="000000" w:themeColor="text1"/>
                <w:lang w:val="fr-FR"/>
              </w:rPr>
            </w:pPr>
            <w:r>
              <w:rPr>
                <w:color w:val="000000" w:themeColor="text1"/>
                <w:lang w:val="fr-FR"/>
              </w:rPr>
              <w:t xml:space="preserve">le montant des frais facturés pour les soins, les services ou les produits; </w:t>
            </w:r>
          </w:p>
          <w:p w14:paraId="042CE096" w14:textId="77777777" w:rsidR="002B0215" w:rsidRPr="005709BF" w:rsidRDefault="002B0215" w:rsidP="00B979B0">
            <w:pPr>
              <w:pStyle w:val="Bullets"/>
              <w:spacing w:before="20" w:afterLines="60" w:after="144"/>
              <w:ind w:left="357" w:hanging="357"/>
              <w:rPr>
                <w:color w:val="000000" w:themeColor="text1"/>
                <w:lang w:val="fr-FR"/>
              </w:rPr>
            </w:pPr>
            <w:r>
              <w:rPr>
                <w:color w:val="000000" w:themeColor="text1"/>
                <w:lang w:val="fr-FR"/>
              </w:rPr>
              <w:t>les paiements perçus.</w:t>
            </w:r>
          </w:p>
        </w:tc>
      </w:tr>
      <w:tr w:rsidR="005709BF" w:rsidRPr="005709BF" w14:paraId="01401A41" w14:textId="77777777" w:rsidTr="009D6B10">
        <w:tc>
          <w:tcPr>
            <w:tcW w:w="9468" w:type="dxa"/>
          </w:tcPr>
          <w:p w14:paraId="38E9ED44" w14:textId="77777777" w:rsidR="002B0215" w:rsidRPr="005709BF" w:rsidRDefault="002B0215" w:rsidP="00B979B0">
            <w:pPr>
              <w:spacing w:before="20" w:afterLines="60" w:after="144"/>
              <w:rPr>
                <w:color w:val="000000" w:themeColor="text1"/>
                <w:lang w:val="fr-FR"/>
              </w:rPr>
            </w:pPr>
          </w:p>
        </w:tc>
      </w:tr>
      <w:tr w:rsidR="005709BF" w:rsidRPr="005709BF" w14:paraId="7D07C991" w14:textId="77777777" w:rsidTr="009D6B10">
        <w:tc>
          <w:tcPr>
            <w:tcW w:w="9468" w:type="dxa"/>
          </w:tcPr>
          <w:p w14:paraId="133BED35" w14:textId="098FE9B8" w:rsidR="002B0215" w:rsidRPr="005709BF" w:rsidRDefault="002B0215" w:rsidP="00B979B0">
            <w:pPr>
              <w:pStyle w:val="ListParagraph"/>
              <w:spacing w:before="20" w:afterLines="60" w:after="144"/>
              <w:ind w:left="461"/>
              <w:rPr>
                <w:color w:val="000000" w:themeColor="text1"/>
                <w:lang w:val="fr-FR"/>
              </w:rPr>
            </w:pPr>
            <w:r>
              <w:rPr>
                <w:color w:val="000000" w:themeColor="text1"/>
                <w:lang w:val="fr-FR"/>
              </w:rPr>
              <w:t>Conservation des dossiers</w:t>
            </w:r>
          </w:p>
        </w:tc>
      </w:tr>
      <w:tr w:rsidR="005709BF" w:rsidRPr="00432493" w14:paraId="7686A9E2" w14:textId="77777777" w:rsidTr="009D6B10">
        <w:tc>
          <w:tcPr>
            <w:tcW w:w="9468" w:type="dxa"/>
          </w:tcPr>
          <w:p w14:paraId="2ECCB7AD" w14:textId="069A9991" w:rsidR="002B0215" w:rsidRPr="005709BF" w:rsidRDefault="002B0215" w:rsidP="00B979B0">
            <w:pPr>
              <w:spacing w:before="20" w:afterLines="60" w:after="144"/>
              <w:rPr>
                <w:color w:val="000000" w:themeColor="text1"/>
                <w:lang w:val="fr-FR"/>
              </w:rPr>
            </w:pPr>
            <w:r>
              <w:rPr>
                <w:color w:val="000000" w:themeColor="text1"/>
                <w:lang w:val="fr-FR"/>
              </w:rPr>
              <w:t xml:space="preserve">Les dossiers cliniques et financiers doivent être conservés pendant au moins 10 ans commençant à la </w:t>
            </w:r>
            <w:r w:rsidRPr="005709BF">
              <w:rPr>
                <w:b/>
                <w:color w:val="000000" w:themeColor="text1"/>
                <w:lang w:val="fr-FR"/>
              </w:rPr>
              <w:t>plus tardive</w:t>
            </w:r>
            <w:r>
              <w:rPr>
                <w:color w:val="000000" w:themeColor="text1"/>
                <w:lang w:val="fr-FR"/>
              </w:rPr>
              <w:t xml:space="preserve"> des deux dates suivantes : </w:t>
            </w:r>
          </w:p>
          <w:p w14:paraId="7EAF2A9B" w14:textId="77777777" w:rsidR="002B0215" w:rsidRPr="005709BF" w:rsidRDefault="002B0215" w:rsidP="00B979B0">
            <w:pPr>
              <w:pStyle w:val="Bullets"/>
              <w:spacing w:before="20" w:afterLines="60" w:after="144"/>
              <w:ind w:left="357" w:hanging="357"/>
              <w:rPr>
                <w:color w:val="000000" w:themeColor="text1"/>
                <w:lang w:val="fr-FR"/>
              </w:rPr>
            </w:pPr>
            <w:r>
              <w:rPr>
                <w:color w:val="000000" w:themeColor="text1"/>
                <w:lang w:val="fr-FR"/>
              </w:rPr>
              <w:t>la date de la dernière rencontre avec le patient;</w:t>
            </w:r>
          </w:p>
          <w:p w14:paraId="21027672" w14:textId="77777777" w:rsidR="002B0215" w:rsidRPr="005709BF" w:rsidRDefault="002B0215" w:rsidP="00B979B0">
            <w:pPr>
              <w:pStyle w:val="Bullets"/>
              <w:spacing w:before="20" w:afterLines="60" w:after="144"/>
              <w:ind w:left="357" w:hanging="357"/>
              <w:rPr>
                <w:color w:val="000000" w:themeColor="text1"/>
                <w:lang w:val="fr-FR"/>
              </w:rPr>
            </w:pPr>
            <w:r>
              <w:rPr>
                <w:color w:val="000000" w:themeColor="text1"/>
                <w:lang w:val="fr-FR"/>
              </w:rPr>
              <w:t>la date à laquelle le patient a atteint ou aurait atteint l’âge de 18 ans.</w:t>
            </w:r>
          </w:p>
        </w:tc>
      </w:tr>
      <w:tr w:rsidR="005709BF" w:rsidRPr="00432493" w14:paraId="01E075AC" w14:textId="77777777" w:rsidTr="009D6B10">
        <w:tc>
          <w:tcPr>
            <w:tcW w:w="9468" w:type="dxa"/>
          </w:tcPr>
          <w:p w14:paraId="27304554" w14:textId="77777777" w:rsidR="002B0215" w:rsidRPr="005709BF" w:rsidRDefault="002B0215" w:rsidP="00B979B0">
            <w:pPr>
              <w:spacing w:before="20" w:afterLines="60" w:after="144"/>
              <w:rPr>
                <w:color w:val="000000" w:themeColor="text1"/>
                <w:lang w:val="fr-FR"/>
              </w:rPr>
            </w:pPr>
            <w:r>
              <w:rPr>
                <w:color w:val="000000" w:themeColor="text1"/>
                <w:lang w:val="fr-FR"/>
              </w:rPr>
              <w:t>Il doit être possible de récupérer et de reproduire un dossier médical et financier complet pour chaque patient tout au long de sa période de conservation.</w:t>
            </w:r>
          </w:p>
        </w:tc>
      </w:tr>
      <w:tr w:rsidR="005709BF" w:rsidRPr="00432493" w14:paraId="2596C562" w14:textId="77777777" w:rsidTr="009D6B10">
        <w:tc>
          <w:tcPr>
            <w:tcW w:w="9468" w:type="dxa"/>
          </w:tcPr>
          <w:p w14:paraId="1B0EE5E8" w14:textId="77777777" w:rsidR="002B0215" w:rsidRPr="005709BF" w:rsidRDefault="002B0215" w:rsidP="00B979B0">
            <w:pPr>
              <w:spacing w:before="20" w:afterLines="60" w:after="144"/>
              <w:rPr>
                <w:color w:val="000000" w:themeColor="text1"/>
                <w:lang w:val="fr-FR"/>
              </w:rPr>
            </w:pPr>
          </w:p>
        </w:tc>
      </w:tr>
      <w:tr w:rsidR="005709BF" w:rsidRPr="00432493" w14:paraId="56F8C1B9" w14:textId="77777777" w:rsidTr="009D6B10">
        <w:tc>
          <w:tcPr>
            <w:tcW w:w="9468" w:type="dxa"/>
          </w:tcPr>
          <w:p w14:paraId="241F11C0" w14:textId="0B49B8A7" w:rsidR="002B0215" w:rsidRPr="005709BF" w:rsidRDefault="002B0215" w:rsidP="00B979B0">
            <w:pPr>
              <w:pStyle w:val="ListParagraph"/>
              <w:spacing w:before="20" w:afterLines="60" w:after="144"/>
              <w:ind w:left="461"/>
              <w:rPr>
                <w:color w:val="000000" w:themeColor="text1"/>
                <w:lang w:val="fr-FR"/>
              </w:rPr>
            </w:pPr>
            <w:r>
              <w:rPr>
                <w:color w:val="000000" w:themeColor="text1"/>
                <w:lang w:val="fr-FR"/>
              </w:rPr>
              <w:t>Exigences en matière de confidentialité</w:t>
            </w:r>
          </w:p>
        </w:tc>
      </w:tr>
      <w:tr w:rsidR="005709BF" w:rsidRPr="00432493" w14:paraId="6FFFB049" w14:textId="77777777" w:rsidTr="009D6B10">
        <w:tc>
          <w:tcPr>
            <w:tcW w:w="9468" w:type="dxa"/>
          </w:tcPr>
          <w:p w14:paraId="58E9D629" w14:textId="01D56CD7" w:rsidR="0058143F" w:rsidRDefault="002B0215" w:rsidP="00B979B0">
            <w:pPr>
              <w:spacing w:before="20" w:afterLines="60" w:after="144"/>
              <w:rPr>
                <w:color w:val="000000" w:themeColor="text1"/>
                <w:lang w:val="fr-FR"/>
              </w:rPr>
            </w:pPr>
            <w:r>
              <w:rPr>
                <w:color w:val="000000" w:themeColor="text1"/>
                <w:lang w:val="fr-FR"/>
              </w:rPr>
              <w:t>Les physiothérapeutes sont tenus de respecter toutes les lois qui protègent la confidentialité des renseignements personnels et des renseignements médicaux personnels. La Loi sur la protection des renseignements personnels sur la santé (LPRPS) énonce les obligations qu’ont les physiothérapeutes en tant que dépositaires, ou qu’agents d’un dépositaire, de l’information sur la santé de leurs patients.</w:t>
            </w:r>
          </w:p>
          <w:p w14:paraId="1DC9D41D" w14:textId="77777777" w:rsidR="0058143F" w:rsidRPr="005709BF" w:rsidRDefault="0058143F" w:rsidP="0058143F">
            <w:pPr>
              <w:spacing w:before="20" w:afterLines="60" w:after="144"/>
              <w:rPr>
                <w:color w:val="000000" w:themeColor="text1"/>
                <w:lang w:val="fr-FR"/>
              </w:rPr>
            </w:pPr>
            <w:r>
              <w:rPr>
                <w:color w:val="000000" w:themeColor="text1"/>
                <w:lang w:val="fr-FR"/>
              </w:rPr>
              <w:t xml:space="preserve">Voici certaines exigences énoncées dans </w:t>
            </w:r>
            <w:r w:rsidRPr="005709BF">
              <w:rPr>
                <w:i/>
                <w:color w:val="000000" w:themeColor="text1"/>
                <w:lang w:val="fr-FR"/>
              </w:rPr>
              <w:t>Loi sur la protection des renseignements personnels sur la santé</w:t>
            </w:r>
            <w:r>
              <w:rPr>
                <w:color w:val="000000" w:themeColor="text1"/>
                <w:lang w:val="fr-FR"/>
              </w:rPr>
              <w:t xml:space="preserve"> :</w:t>
            </w:r>
          </w:p>
          <w:p w14:paraId="62DB219E" w14:textId="77777777" w:rsidR="0058143F" w:rsidRPr="005709BF" w:rsidRDefault="0058143F" w:rsidP="0058143F">
            <w:pPr>
              <w:pStyle w:val="Bullets"/>
              <w:spacing w:before="20" w:afterLines="60" w:after="144"/>
              <w:ind w:left="357" w:hanging="357"/>
              <w:rPr>
                <w:color w:val="000000" w:themeColor="text1"/>
                <w:lang w:val="fr-FR"/>
              </w:rPr>
            </w:pPr>
            <w:r>
              <w:rPr>
                <w:color w:val="000000" w:themeColor="text1"/>
                <w:lang w:val="fr-FR"/>
              </w:rPr>
              <w:t>les physiothérapeutes doivent maintenir la confidentialité dans les activités de collecte, de stockage, d’utilisation, de transmission et d’élimination des renseignements personnels sur la santé des patients. À titre d’exemples de stockage et d’accès sécurisé, citons des mesures de sécurité matérielle comme le verrouillage et les contrôles électroniques, comme des mots de passe et le chiffrement des données;</w:t>
            </w:r>
          </w:p>
          <w:p w14:paraId="0BA59660" w14:textId="77777777" w:rsidR="0058143F" w:rsidRPr="005709BF" w:rsidRDefault="0058143F" w:rsidP="0058143F">
            <w:pPr>
              <w:pStyle w:val="Bullets"/>
              <w:spacing w:before="20" w:afterLines="60" w:after="144"/>
              <w:ind w:left="357" w:hanging="357"/>
              <w:rPr>
                <w:color w:val="000000" w:themeColor="text1"/>
                <w:lang w:val="fr-FR"/>
              </w:rPr>
            </w:pPr>
            <w:r>
              <w:rPr>
                <w:color w:val="000000" w:themeColor="text1"/>
                <w:lang w:val="fr-FR"/>
              </w:rPr>
              <w:t xml:space="preserve">les patients doivent savoir qui a la garde et le contrôle de leurs renseignements personnels sur la </w:t>
            </w:r>
            <w:r>
              <w:rPr>
                <w:color w:val="000000" w:themeColor="text1"/>
                <w:lang w:val="fr-FR"/>
              </w:rPr>
              <w:lastRenderedPageBreak/>
              <w:t>santé (le dépositaire de l’information sur la santé) et comment leurs renseignements personnels sur la santé sont gérés;</w:t>
            </w:r>
          </w:p>
          <w:p w14:paraId="6A868A88" w14:textId="77777777" w:rsidR="0058143F" w:rsidRPr="005709BF" w:rsidRDefault="0058143F" w:rsidP="0058143F">
            <w:pPr>
              <w:pStyle w:val="Bullets"/>
              <w:spacing w:before="20" w:afterLines="60" w:after="144"/>
              <w:ind w:left="357" w:hanging="357"/>
              <w:rPr>
                <w:color w:val="000000" w:themeColor="text1"/>
                <w:lang w:val="fr-FR"/>
              </w:rPr>
            </w:pPr>
            <w:r>
              <w:rPr>
                <w:color w:val="000000" w:themeColor="text1"/>
                <w:lang w:val="fr-FR"/>
              </w:rPr>
              <w:t>les physiothérapeutes doivent obtenir et consigner le consentement du patient avant de divulguer des renseignements personnels sur la santé du patient à une personne qui n’est pas un prestataire de soins de santé impliqué dans les soins du patient;</w:t>
            </w:r>
          </w:p>
          <w:p w14:paraId="467D834F" w14:textId="77777777" w:rsidR="0058143F" w:rsidRPr="005709BF" w:rsidRDefault="0058143F" w:rsidP="0058143F">
            <w:pPr>
              <w:pStyle w:val="Bullets"/>
              <w:spacing w:before="20" w:afterLines="60" w:after="144"/>
              <w:ind w:left="357" w:hanging="357"/>
              <w:rPr>
                <w:color w:val="000000" w:themeColor="text1"/>
                <w:lang w:val="fr-FR"/>
              </w:rPr>
            </w:pPr>
            <w:r>
              <w:rPr>
                <w:color w:val="000000" w:themeColor="text1"/>
                <w:lang w:val="fr-FR"/>
              </w:rPr>
              <w:t xml:space="preserve">les physiothérapeutes doivent veiller à ce que les personnes ayant l’autorité d’accéder au dossier d’un patient ou que celles ayant reçu son consentement pour y accéder puissent le faire en temps opportun. Des frais raisonnables peuvent être exigés pour fournir le dossier. </w:t>
            </w:r>
          </w:p>
          <w:p w14:paraId="582349DC" w14:textId="77777777" w:rsidR="0058143F" w:rsidRPr="005709BF" w:rsidRDefault="0058143F" w:rsidP="0058143F">
            <w:pPr>
              <w:pStyle w:val="Bullets"/>
              <w:numPr>
                <w:ilvl w:val="0"/>
                <w:numId w:val="0"/>
              </w:numPr>
              <w:spacing w:before="20" w:afterLines="60" w:after="144"/>
              <w:rPr>
                <w:color w:val="000000" w:themeColor="text1"/>
                <w:lang w:val="fr-FR"/>
              </w:rPr>
            </w:pPr>
          </w:p>
          <w:p w14:paraId="5CD566CB" w14:textId="77777777" w:rsidR="0058143F" w:rsidRDefault="0058143F" w:rsidP="0058143F">
            <w:pPr>
              <w:pStyle w:val="Bullets"/>
              <w:numPr>
                <w:ilvl w:val="0"/>
                <w:numId w:val="0"/>
              </w:numPr>
              <w:spacing w:before="20" w:afterLines="60" w:after="144"/>
              <w:rPr>
                <w:color w:val="000000" w:themeColor="text1"/>
                <w:lang w:val="fr-FR"/>
              </w:rPr>
            </w:pPr>
            <w:r>
              <w:rPr>
                <w:color w:val="000000" w:themeColor="text1"/>
                <w:lang w:val="fr-FR"/>
              </w:rPr>
              <w:t xml:space="preserve">Les documents traitant de la confidentialité de l’Ordre des physiothérapeutes fournissent des informations plus détaillées sur les exigences à cet égard. </w:t>
            </w:r>
          </w:p>
          <w:p w14:paraId="202CC148" w14:textId="04979749" w:rsidR="0058143F" w:rsidRPr="005709BF" w:rsidRDefault="0058143F" w:rsidP="00B979B0">
            <w:pPr>
              <w:spacing w:before="20" w:afterLines="60" w:after="144"/>
              <w:rPr>
                <w:color w:val="000000" w:themeColor="text1"/>
                <w:lang w:val="fr-FR"/>
              </w:rPr>
            </w:pPr>
          </w:p>
        </w:tc>
      </w:tr>
      <w:tr w:rsidR="00B979B0" w:rsidRPr="00432493" w14:paraId="63BE6F76" w14:textId="77777777" w:rsidTr="009D6B10">
        <w:tc>
          <w:tcPr>
            <w:tcW w:w="9468" w:type="dxa"/>
          </w:tcPr>
          <w:p w14:paraId="62C0090D" w14:textId="77777777" w:rsidR="00C551ED" w:rsidRPr="00D63E05" w:rsidRDefault="00C551ED" w:rsidP="00B979B0">
            <w:pPr>
              <w:spacing w:before="20" w:afterLines="60" w:after="144"/>
              <w:rPr>
                <w:rFonts w:eastAsia="Trebuchet MS" w:cs="Trebuchet MS"/>
                <w:b/>
                <w:sz w:val="28"/>
                <w:szCs w:val="24"/>
                <w:lang w:val="fr-FR"/>
              </w:rPr>
            </w:pPr>
            <w:r>
              <w:rPr>
                <w:rFonts w:eastAsia="Trebuchet MS" w:cs="Trebuchet MS"/>
                <w:b/>
                <w:sz w:val="28"/>
                <w:lang w:val="fr-FR"/>
              </w:rPr>
              <w:lastRenderedPageBreak/>
              <w:t>Glossaire</w:t>
            </w:r>
          </w:p>
          <w:p w14:paraId="7C281288" w14:textId="62AE7781" w:rsidR="00C551ED" w:rsidRPr="00B979B0" w:rsidRDefault="00C551ED" w:rsidP="00B979B0">
            <w:pPr>
              <w:tabs>
                <w:tab w:val="left" w:pos="1440"/>
              </w:tabs>
              <w:spacing w:before="20" w:afterLines="60" w:after="144"/>
              <w:rPr>
                <w:rFonts w:eastAsia="Trebuchet MS" w:cs="Trebuchet MS"/>
                <w:sz w:val="24"/>
                <w:szCs w:val="24"/>
                <w:lang w:val="fr-FR"/>
              </w:rPr>
            </w:pPr>
            <w:r>
              <w:rPr>
                <w:rFonts w:eastAsia="Trebuchet MS" w:cs="Trebuchet MS"/>
                <w:b/>
                <w:i/>
                <w:sz w:val="24"/>
                <w:lang w:val="fr-FR"/>
              </w:rPr>
              <w:t>Traitement</w:t>
            </w:r>
            <w:r w:rsidRPr="00B979B0">
              <w:rPr>
                <w:rFonts w:eastAsia="Trebuchet MS" w:cs="Trebuchet MS"/>
                <w:b/>
                <w:sz w:val="24"/>
                <w:szCs w:val="24"/>
                <w:lang w:val="fr-FR"/>
              </w:rPr>
              <w:t xml:space="preserve"> : </w:t>
            </w:r>
          </w:p>
          <w:p w14:paraId="2A5846E5" w14:textId="1195EB65" w:rsidR="00405925" w:rsidRPr="00B979B0" w:rsidRDefault="00405925" w:rsidP="00B979B0">
            <w:pPr>
              <w:tabs>
                <w:tab w:val="left" w:pos="1440"/>
              </w:tabs>
              <w:spacing w:before="20" w:afterLines="60" w:after="144"/>
              <w:rPr>
                <w:rFonts w:eastAsia="Trebuchet MS" w:cs="Trebuchet MS"/>
                <w:sz w:val="24"/>
                <w:szCs w:val="24"/>
                <w:lang w:val="fr-FR"/>
              </w:rPr>
            </w:pPr>
            <w:r>
              <w:rPr>
                <w:rFonts w:eastAsia="Trebuchet MS" w:cs="Trebuchet MS"/>
                <w:sz w:val="24"/>
                <w:lang w:val="fr-FR"/>
              </w:rPr>
              <w:t>Pour déterminer si les services administrés par l’aide-physiothérapeute peuvent être qualifiés de traitements, voyez si le service administré fait partie du plan de traitement du physiothérapeute. Demandez-vous par exemple si les services font partie des modalités de traitement, des exercices, ou de l’entraînement à la marche, etc. suggéré par le physiothérapeute. Des activités comme le rangement de la salle de traitement, le fait de retirer un bloc réfrigérant ou celui d’accompagner les patients vers la salle de traitement ne seraient probablement pas qualifiées comme des traitements.</w:t>
            </w:r>
          </w:p>
          <w:p w14:paraId="0D31E994" w14:textId="77777777" w:rsidR="00B979B0" w:rsidRPr="00B979B0" w:rsidRDefault="00B979B0" w:rsidP="00B979B0">
            <w:pPr>
              <w:tabs>
                <w:tab w:val="left" w:pos="1440"/>
              </w:tabs>
              <w:spacing w:before="20" w:afterLines="60" w:after="144"/>
              <w:rPr>
                <w:rFonts w:cs="Arial"/>
                <w:b/>
                <w:i/>
                <w:lang w:val="fr-FR"/>
              </w:rPr>
            </w:pPr>
            <w:r>
              <w:rPr>
                <w:rFonts w:cs="Arial"/>
                <w:b/>
                <w:i/>
                <w:lang w:val="fr-FR"/>
              </w:rPr>
              <w:t>Confidentialité :</w:t>
            </w:r>
          </w:p>
          <w:p w14:paraId="153A0E29" w14:textId="4B9AD032" w:rsidR="00B979B0" w:rsidRDefault="00B979B0" w:rsidP="00B979B0">
            <w:pPr>
              <w:tabs>
                <w:tab w:val="left" w:pos="1440"/>
              </w:tabs>
              <w:spacing w:before="20" w:afterLines="60" w:after="144"/>
              <w:rPr>
                <w:rFonts w:cs="Arial"/>
                <w:lang w:val="fr-FR"/>
              </w:rPr>
            </w:pPr>
            <w:r>
              <w:rPr>
                <w:rFonts w:cs="Arial"/>
                <w:lang w:val="fr-FR"/>
              </w:rPr>
              <w:t>L’obligation d’un fournisseur réglementé de soins de santé de ne pas divulguer les informations obtenues de la part d’un patient dans le cadre d’une relation thérapeutique sans son consentement, ou celui de son mandataire, ou de ne les divulguer que lorsque la Loi l’exige ou le permet.</w:t>
            </w:r>
          </w:p>
          <w:p w14:paraId="3849EA0D" w14:textId="506A94BB" w:rsidR="00D17D1B" w:rsidRPr="00D17D1B" w:rsidRDefault="00D17D1B" w:rsidP="00B979B0">
            <w:pPr>
              <w:tabs>
                <w:tab w:val="left" w:pos="1440"/>
              </w:tabs>
              <w:spacing w:before="20" w:afterLines="60" w:after="144"/>
              <w:rPr>
                <w:rFonts w:cs="Arial"/>
                <w:b/>
                <w:i/>
                <w:lang w:val="fr-FR"/>
              </w:rPr>
            </w:pPr>
            <w:r>
              <w:rPr>
                <w:rFonts w:cs="Arial"/>
                <w:b/>
                <w:i/>
                <w:lang w:val="fr-FR"/>
              </w:rPr>
              <w:t>Compréhensibles :</w:t>
            </w:r>
          </w:p>
          <w:p w14:paraId="06A4D35C" w14:textId="005BDDA9" w:rsidR="00D17D1B" w:rsidRPr="00B979B0" w:rsidRDefault="00D17D1B" w:rsidP="00B979B0">
            <w:pPr>
              <w:tabs>
                <w:tab w:val="left" w:pos="1440"/>
              </w:tabs>
              <w:spacing w:before="20" w:afterLines="60" w:after="144"/>
              <w:rPr>
                <w:rFonts w:eastAsia="Trebuchet MS" w:cs="Trebuchet MS"/>
                <w:sz w:val="24"/>
                <w:szCs w:val="24"/>
                <w:lang w:val="fr-FR"/>
              </w:rPr>
            </w:pPr>
            <w:r>
              <w:rPr>
                <w:lang w:val="fr-FR"/>
              </w:rPr>
              <w:t>Le fait d’être clairement énoncé et rédigé dans un langage qui est facile à comprendre.</w:t>
            </w:r>
          </w:p>
          <w:p w14:paraId="285BF14E" w14:textId="77777777" w:rsidR="00C551ED" w:rsidRPr="008821D5" w:rsidRDefault="00C551ED" w:rsidP="00B979B0">
            <w:pPr>
              <w:spacing w:before="20" w:afterLines="60" w:after="144"/>
              <w:rPr>
                <w:rFonts w:eastAsia="Trebuchet MS" w:cs="Trebuchet MS"/>
                <w:sz w:val="24"/>
                <w:szCs w:val="24"/>
                <w:lang w:val="fr-FR"/>
              </w:rPr>
            </w:pPr>
          </w:p>
          <w:p w14:paraId="775A716E" w14:textId="6983DC98" w:rsidR="00C551ED" w:rsidRPr="005709BF" w:rsidRDefault="00C551ED" w:rsidP="00B979B0">
            <w:pPr>
              <w:pStyle w:val="Bullets"/>
              <w:numPr>
                <w:ilvl w:val="0"/>
                <w:numId w:val="0"/>
              </w:numPr>
              <w:spacing w:before="20" w:afterLines="60" w:after="144"/>
              <w:rPr>
                <w:i/>
                <w:color w:val="000000" w:themeColor="text1"/>
                <w:lang w:val="fr-FR"/>
              </w:rPr>
            </w:pPr>
          </w:p>
        </w:tc>
      </w:tr>
    </w:tbl>
    <w:p w14:paraId="1BC6EE4A" w14:textId="692D3A39" w:rsidR="004A280A" w:rsidRPr="005709BF" w:rsidRDefault="004A280A" w:rsidP="00B979B0">
      <w:pPr>
        <w:spacing w:before="20" w:afterLines="60" w:after="144" w:line="240" w:lineRule="auto"/>
        <w:ind w:left="619"/>
        <w:rPr>
          <w:color w:val="000000" w:themeColor="text1"/>
          <w:lang w:val="fr-FR"/>
        </w:rPr>
      </w:pPr>
    </w:p>
    <w:sectPr w:rsidR="004A280A" w:rsidRPr="005709BF" w:rsidSect="00B979B0">
      <w:footerReference w:type="default" r:id="rId8"/>
      <w:headerReference w:type="first" r:id="rId9"/>
      <w:footerReference w:type="first" r:id="rId10"/>
      <w:pgSz w:w="12240" w:h="15840" w:code="1"/>
      <w:pgMar w:top="162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D0A7BB" w14:textId="77777777" w:rsidR="00D51A13" w:rsidRDefault="00D51A13" w:rsidP="00E33F47">
      <w:pPr>
        <w:spacing w:after="0" w:line="240" w:lineRule="auto"/>
      </w:pPr>
      <w:r>
        <w:separator/>
      </w:r>
    </w:p>
  </w:endnote>
  <w:endnote w:type="continuationSeparator" w:id="0">
    <w:p w14:paraId="00CD8AF8" w14:textId="77777777" w:rsidR="00D51A13" w:rsidRDefault="00D51A13" w:rsidP="00E33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EC382" w14:textId="5BAD65F7" w:rsidR="00C87555" w:rsidRDefault="005709BF" w:rsidP="00C87555">
    <w:pPr>
      <w:pStyle w:val="Footer"/>
      <w:jc w:val="center"/>
    </w:pPr>
    <w:r w:rsidRPr="005709BF">
      <w:rPr>
        <w:noProof/>
        <w:lang w:val="en-CA" w:eastAsia="en-CA"/>
      </w:rPr>
      <w:drawing>
        <wp:anchor distT="0" distB="0" distL="114300" distR="114300" simplePos="0" relativeHeight="251660288" behindDoc="0" locked="0" layoutInCell="1" allowOverlap="1" wp14:anchorId="016D7D98" wp14:editId="3D58C1FD">
          <wp:simplePos x="0" y="0"/>
          <wp:positionH relativeFrom="column">
            <wp:posOffset>-38100</wp:posOffset>
          </wp:positionH>
          <wp:positionV relativeFrom="paragraph">
            <wp:posOffset>-219710</wp:posOffset>
          </wp:positionV>
          <wp:extent cx="963295" cy="323850"/>
          <wp:effectExtent l="0" t="0" r="8255"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3295" cy="323850"/>
                  </a:xfrm>
                  <a:prstGeom prst="rect">
                    <a:avLst/>
                  </a:prstGeom>
                </pic:spPr>
              </pic:pic>
            </a:graphicData>
          </a:graphic>
          <wp14:sizeRelH relativeFrom="page">
            <wp14:pctWidth>0</wp14:pctWidth>
          </wp14:sizeRelH>
          <wp14:sizeRelV relativeFrom="page">
            <wp14:pctHeight>0</wp14:pctHeight>
          </wp14:sizeRelV>
        </wp:anchor>
      </w:drawing>
    </w:r>
    <w:r w:rsidRPr="005709BF">
      <w:rPr>
        <w:noProof/>
        <w:lang w:val="en-CA" w:eastAsia="en-CA"/>
      </w:rPr>
      <mc:AlternateContent>
        <mc:Choice Requires="wps">
          <w:drawing>
            <wp:anchor distT="0" distB="0" distL="114300" distR="114300" simplePos="0" relativeHeight="251659264" behindDoc="0" locked="0" layoutInCell="1" allowOverlap="1" wp14:anchorId="7374DD0F" wp14:editId="262D9278">
              <wp:simplePos x="0" y="0"/>
              <wp:positionH relativeFrom="column">
                <wp:posOffset>3257550</wp:posOffset>
              </wp:positionH>
              <wp:positionV relativeFrom="paragraph">
                <wp:posOffset>-173355</wp:posOffset>
              </wp:positionV>
              <wp:extent cx="281241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2415" cy="1403985"/>
                      </a:xfrm>
                      <a:prstGeom prst="rect">
                        <a:avLst/>
                      </a:prstGeom>
                      <a:noFill/>
                      <a:ln w="9525">
                        <a:noFill/>
                        <a:miter lim="800000"/>
                        <a:headEnd/>
                        <a:tailEnd/>
                      </a:ln>
                    </wps:spPr>
                    <wps:txbx>
                      <w:txbxContent>
                        <w:p w14:paraId="73E05997" w14:textId="43CE3115" w:rsidR="005709BF" w:rsidRPr="00E3001D" w:rsidRDefault="005709BF" w:rsidP="005709BF">
                          <w:pPr>
                            <w:jc w:val="right"/>
                            <w:rPr>
                              <w:i/>
                              <w:sz w:val="18"/>
                              <w:szCs w:val="18"/>
                              <w:lang w:val="fr-FR"/>
                            </w:rPr>
                          </w:pPr>
                          <w:r>
                            <w:rPr>
                              <w:i/>
                              <w:sz w:val="18"/>
                              <w:lang w:val="fr-FR"/>
                            </w:rPr>
                            <w:t>Norme sur la tenue de dossiers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74DD0F" id="_x0000_t202" coordsize="21600,21600" o:spt="202" path="m,l,21600r21600,l21600,xe">
              <v:stroke joinstyle="miter"/>
              <v:path gradientshapeok="t" o:connecttype="rect"/>
            </v:shapetype>
            <v:shape id="Text Box 2" o:spid="_x0000_s1026" type="#_x0000_t202" style="position:absolute;left:0;text-align:left;margin-left:256.5pt;margin-top:-13.65pt;width:221.4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" filled="f" stroked="f">
              <v:textbox style="mso-fit-shape-to-text:t">
                <w:txbxContent>
                  <w:p w14:paraId="73E05997" w14:textId="43CE3115" w:rsidR="005709BF" w:rsidRPr="00E3001D" w:rsidRDefault="005709BF" w:rsidP="005709BF">
                    <w:pPr>
                      <w:jc w:val="right"/>
                      <w:rPr>
                        <w:i/>
                        <w:sz w:val="18"/>
                        <w:szCs w:val="18"/>
                        <w:lang w:val="fr-FR"/>
                      </w:rPr>
                    </w:pPr>
                    <w:r>
                      <w:rPr>
                        <w:i/>
                        <w:sz w:val="18"/>
                        <w:lang w:val="fr-FR"/>
                      </w:rPr>
                      <w:t>Norme sur la tenue de dossiers</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000138" w14:textId="74F44FFC" w:rsidR="005709BF" w:rsidRDefault="005709BF">
    <w:pPr>
      <w:pStyle w:val="Footer"/>
    </w:pPr>
  </w:p>
  <w:p w14:paraId="1046CBAA" w14:textId="77777777" w:rsidR="005709BF" w:rsidRDefault="005709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3C6869" w14:textId="77777777" w:rsidR="00D51A13" w:rsidRDefault="00D51A13" w:rsidP="00E33F47">
      <w:pPr>
        <w:spacing w:after="0" w:line="240" w:lineRule="auto"/>
      </w:pPr>
      <w:r>
        <w:separator/>
      </w:r>
    </w:p>
  </w:footnote>
  <w:footnote w:type="continuationSeparator" w:id="0">
    <w:p w14:paraId="45B52314" w14:textId="77777777" w:rsidR="00D51A13" w:rsidRDefault="00D51A13" w:rsidP="00E33F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377E6" w14:textId="4EBC7BC1" w:rsidR="005709BF" w:rsidRDefault="005709BF">
    <w:pPr>
      <w:pStyle w:val="Header"/>
    </w:pPr>
    <w:r>
      <w:rPr>
        <w:rFonts w:ascii="Times New Roman" w:eastAsia="Times New Roman" w:hAnsi="Times New Roman" w:cs="Times New Roman"/>
        <w:noProof/>
        <w:sz w:val="20"/>
        <w:szCs w:val="20"/>
        <w:lang w:val="en-CA" w:eastAsia="en-CA"/>
      </w:rPr>
      <w:drawing>
        <wp:anchor distT="0" distB="0" distL="114300" distR="114300" simplePos="0" relativeHeight="251661312" behindDoc="0" locked="0" layoutInCell="1" allowOverlap="1" wp14:anchorId="4BE7CB72" wp14:editId="6630D832">
          <wp:simplePos x="0" y="0"/>
          <wp:positionH relativeFrom="column">
            <wp:posOffset>2640</wp:posOffset>
          </wp:positionH>
          <wp:positionV relativeFrom="paragraph">
            <wp:posOffset>0</wp:posOffset>
          </wp:positionV>
          <wp:extent cx="1505711" cy="505968"/>
          <wp:effectExtent l="0" t="0" r="0" b="889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5711" cy="50596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42260ED4"/>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5C271C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172F038"/>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50AEA63A"/>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62A279C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B72840"/>
    <w:multiLevelType w:val="hybridMultilevel"/>
    <w:tmpl w:val="CDB41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4E426F"/>
    <w:multiLevelType w:val="hybridMultilevel"/>
    <w:tmpl w:val="E33641B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31AC4AA6"/>
    <w:multiLevelType w:val="hybridMultilevel"/>
    <w:tmpl w:val="F41436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E06891"/>
    <w:multiLevelType w:val="hybridMultilevel"/>
    <w:tmpl w:val="F41436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EF3811"/>
    <w:multiLevelType w:val="hybridMultilevel"/>
    <w:tmpl w:val="28D02924"/>
    <w:lvl w:ilvl="0" w:tplc="9536B5E4">
      <w:start w:val="1"/>
      <w:numFmt w:val="bullet"/>
      <w:pStyle w:val="Bullets"/>
      <w:lvlText w:val=""/>
      <w:lvlJc w:val="left"/>
      <w:pPr>
        <w:ind w:left="1791" w:hanging="360"/>
      </w:pPr>
      <w:rPr>
        <w:rFonts w:ascii="Symbol" w:hAnsi="Symbol" w:hint="default"/>
      </w:rPr>
    </w:lvl>
    <w:lvl w:ilvl="1" w:tplc="04090003">
      <w:start w:val="1"/>
      <w:numFmt w:val="bullet"/>
      <w:lvlText w:val="o"/>
      <w:lvlJc w:val="left"/>
      <w:pPr>
        <w:ind w:left="2511" w:hanging="360"/>
      </w:pPr>
      <w:rPr>
        <w:rFonts w:ascii="Courier New" w:hAnsi="Courier New" w:cs="Courier New" w:hint="default"/>
      </w:rPr>
    </w:lvl>
    <w:lvl w:ilvl="2" w:tplc="04090005" w:tentative="1">
      <w:start w:val="1"/>
      <w:numFmt w:val="bullet"/>
      <w:lvlText w:val=""/>
      <w:lvlJc w:val="left"/>
      <w:pPr>
        <w:ind w:left="3231" w:hanging="360"/>
      </w:pPr>
      <w:rPr>
        <w:rFonts w:ascii="Wingdings" w:hAnsi="Wingdings" w:hint="default"/>
      </w:rPr>
    </w:lvl>
    <w:lvl w:ilvl="3" w:tplc="04090001" w:tentative="1">
      <w:start w:val="1"/>
      <w:numFmt w:val="bullet"/>
      <w:lvlText w:val=""/>
      <w:lvlJc w:val="left"/>
      <w:pPr>
        <w:ind w:left="3951" w:hanging="360"/>
      </w:pPr>
      <w:rPr>
        <w:rFonts w:ascii="Symbol" w:hAnsi="Symbol" w:hint="default"/>
      </w:rPr>
    </w:lvl>
    <w:lvl w:ilvl="4" w:tplc="04090003" w:tentative="1">
      <w:start w:val="1"/>
      <w:numFmt w:val="bullet"/>
      <w:lvlText w:val="o"/>
      <w:lvlJc w:val="left"/>
      <w:pPr>
        <w:ind w:left="4671" w:hanging="360"/>
      </w:pPr>
      <w:rPr>
        <w:rFonts w:ascii="Courier New" w:hAnsi="Courier New" w:cs="Courier New" w:hint="default"/>
      </w:rPr>
    </w:lvl>
    <w:lvl w:ilvl="5" w:tplc="04090005" w:tentative="1">
      <w:start w:val="1"/>
      <w:numFmt w:val="bullet"/>
      <w:lvlText w:val=""/>
      <w:lvlJc w:val="left"/>
      <w:pPr>
        <w:ind w:left="5391" w:hanging="360"/>
      </w:pPr>
      <w:rPr>
        <w:rFonts w:ascii="Wingdings" w:hAnsi="Wingdings" w:hint="default"/>
      </w:rPr>
    </w:lvl>
    <w:lvl w:ilvl="6" w:tplc="04090001" w:tentative="1">
      <w:start w:val="1"/>
      <w:numFmt w:val="bullet"/>
      <w:lvlText w:val=""/>
      <w:lvlJc w:val="left"/>
      <w:pPr>
        <w:ind w:left="6111" w:hanging="360"/>
      </w:pPr>
      <w:rPr>
        <w:rFonts w:ascii="Symbol" w:hAnsi="Symbol" w:hint="default"/>
      </w:rPr>
    </w:lvl>
    <w:lvl w:ilvl="7" w:tplc="04090003" w:tentative="1">
      <w:start w:val="1"/>
      <w:numFmt w:val="bullet"/>
      <w:lvlText w:val="o"/>
      <w:lvlJc w:val="left"/>
      <w:pPr>
        <w:ind w:left="6831" w:hanging="360"/>
      </w:pPr>
      <w:rPr>
        <w:rFonts w:ascii="Courier New" w:hAnsi="Courier New" w:cs="Courier New" w:hint="default"/>
      </w:rPr>
    </w:lvl>
    <w:lvl w:ilvl="8" w:tplc="04090005" w:tentative="1">
      <w:start w:val="1"/>
      <w:numFmt w:val="bullet"/>
      <w:lvlText w:val=""/>
      <w:lvlJc w:val="left"/>
      <w:pPr>
        <w:ind w:left="7551" w:hanging="360"/>
      </w:pPr>
      <w:rPr>
        <w:rFonts w:ascii="Wingdings" w:hAnsi="Wingdings" w:hint="default"/>
      </w:rPr>
    </w:lvl>
  </w:abstractNum>
  <w:abstractNum w:abstractNumId="10" w15:restartNumberingAfterBreak="0">
    <w:nsid w:val="37737756"/>
    <w:multiLevelType w:val="hybridMultilevel"/>
    <w:tmpl w:val="F6329A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C44959"/>
    <w:multiLevelType w:val="hybridMultilevel"/>
    <w:tmpl w:val="C5307914"/>
    <w:lvl w:ilvl="0" w:tplc="6A524E78">
      <w:start w:val="1"/>
      <w:numFmt w:val="decimal"/>
      <w:pStyle w:val="ListParagrap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6F70A9"/>
    <w:multiLevelType w:val="hybridMultilevel"/>
    <w:tmpl w:val="88AEE72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3E8839BA"/>
    <w:multiLevelType w:val="hybridMultilevel"/>
    <w:tmpl w:val="8E1E763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2F262C5"/>
    <w:multiLevelType w:val="hybridMultilevel"/>
    <w:tmpl w:val="E0465A96"/>
    <w:lvl w:ilvl="0" w:tplc="10090001">
      <w:start w:val="1"/>
      <w:numFmt w:val="bullet"/>
      <w:lvlText w:val=""/>
      <w:lvlJc w:val="left"/>
      <w:pPr>
        <w:ind w:left="979" w:hanging="360"/>
      </w:pPr>
      <w:rPr>
        <w:rFonts w:ascii="Symbol" w:hAnsi="Symbol" w:hint="default"/>
      </w:rPr>
    </w:lvl>
    <w:lvl w:ilvl="1" w:tplc="10090003" w:tentative="1">
      <w:start w:val="1"/>
      <w:numFmt w:val="bullet"/>
      <w:lvlText w:val="o"/>
      <w:lvlJc w:val="left"/>
      <w:pPr>
        <w:ind w:left="1699" w:hanging="360"/>
      </w:pPr>
      <w:rPr>
        <w:rFonts w:ascii="Courier New" w:hAnsi="Courier New" w:cs="Courier New" w:hint="default"/>
      </w:rPr>
    </w:lvl>
    <w:lvl w:ilvl="2" w:tplc="10090005" w:tentative="1">
      <w:start w:val="1"/>
      <w:numFmt w:val="bullet"/>
      <w:lvlText w:val=""/>
      <w:lvlJc w:val="left"/>
      <w:pPr>
        <w:ind w:left="2419" w:hanging="360"/>
      </w:pPr>
      <w:rPr>
        <w:rFonts w:ascii="Wingdings" w:hAnsi="Wingdings" w:hint="default"/>
      </w:rPr>
    </w:lvl>
    <w:lvl w:ilvl="3" w:tplc="10090001" w:tentative="1">
      <w:start w:val="1"/>
      <w:numFmt w:val="bullet"/>
      <w:lvlText w:val=""/>
      <w:lvlJc w:val="left"/>
      <w:pPr>
        <w:ind w:left="3139" w:hanging="360"/>
      </w:pPr>
      <w:rPr>
        <w:rFonts w:ascii="Symbol" w:hAnsi="Symbol" w:hint="default"/>
      </w:rPr>
    </w:lvl>
    <w:lvl w:ilvl="4" w:tplc="10090003" w:tentative="1">
      <w:start w:val="1"/>
      <w:numFmt w:val="bullet"/>
      <w:lvlText w:val="o"/>
      <w:lvlJc w:val="left"/>
      <w:pPr>
        <w:ind w:left="3859" w:hanging="360"/>
      </w:pPr>
      <w:rPr>
        <w:rFonts w:ascii="Courier New" w:hAnsi="Courier New" w:cs="Courier New" w:hint="default"/>
      </w:rPr>
    </w:lvl>
    <w:lvl w:ilvl="5" w:tplc="10090005" w:tentative="1">
      <w:start w:val="1"/>
      <w:numFmt w:val="bullet"/>
      <w:lvlText w:val=""/>
      <w:lvlJc w:val="left"/>
      <w:pPr>
        <w:ind w:left="4579" w:hanging="360"/>
      </w:pPr>
      <w:rPr>
        <w:rFonts w:ascii="Wingdings" w:hAnsi="Wingdings" w:hint="default"/>
      </w:rPr>
    </w:lvl>
    <w:lvl w:ilvl="6" w:tplc="10090001" w:tentative="1">
      <w:start w:val="1"/>
      <w:numFmt w:val="bullet"/>
      <w:lvlText w:val=""/>
      <w:lvlJc w:val="left"/>
      <w:pPr>
        <w:ind w:left="5299" w:hanging="360"/>
      </w:pPr>
      <w:rPr>
        <w:rFonts w:ascii="Symbol" w:hAnsi="Symbol" w:hint="default"/>
      </w:rPr>
    </w:lvl>
    <w:lvl w:ilvl="7" w:tplc="10090003" w:tentative="1">
      <w:start w:val="1"/>
      <w:numFmt w:val="bullet"/>
      <w:lvlText w:val="o"/>
      <w:lvlJc w:val="left"/>
      <w:pPr>
        <w:ind w:left="6019" w:hanging="360"/>
      </w:pPr>
      <w:rPr>
        <w:rFonts w:ascii="Courier New" w:hAnsi="Courier New" w:cs="Courier New" w:hint="default"/>
      </w:rPr>
    </w:lvl>
    <w:lvl w:ilvl="8" w:tplc="10090005" w:tentative="1">
      <w:start w:val="1"/>
      <w:numFmt w:val="bullet"/>
      <w:lvlText w:val=""/>
      <w:lvlJc w:val="left"/>
      <w:pPr>
        <w:ind w:left="6739" w:hanging="360"/>
      </w:pPr>
      <w:rPr>
        <w:rFonts w:ascii="Wingdings" w:hAnsi="Wingdings" w:hint="default"/>
      </w:rPr>
    </w:lvl>
  </w:abstractNum>
  <w:abstractNum w:abstractNumId="15" w15:restartNumberingAfterBreak="0">
    <w:nsid w:val="5DBF2D27"/>
    <w:multiLevelType w:val="hybridMultilevel"/>
    <w:tmpl w:val="78FE2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A15870"/>
    <w:multiLevelType w:val="hybridMultilevel"/>
    <w:tmpl w:val="035C4788"/>
    <w:lvl w:ilvl="0" w:tplc="1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9"/>
  </w:num>
  <w:num w:numId="3">
    <w:abstractNumId w:val="10"/>
  </w:num>
  <w:num w:numId="4">
    <w:abstractNumId w:val="7"/>
  </w:num>
  <w:num w:numId="5">
    <w:abstractNumId w:val="5"/>
  </w:num>
  <w:num w:numId="6">
    <w:abstractNumId w:val="8"/>
  </w:num>
  <w:num w:numId="7">
    <w:abstractNumId w:val="16"/>
  </w:num>
  <w:num w:numId="8">
    <w:abstractNumId w:val="12"/>
  </w:num>
  <w:num w:numId="9">
    <w:abstractNumId w:val="6"/>
  </w:num>
  <w:num w:numId="10">
    <w:abstractNumId w:val="4"/>
  </w:num>
  <w:num w:numId="11">
    <w:abstractNumId w:val="3"/>
  </w:num>
  <w:num w:numId="12">
    <w:abstractNumId w:val="2"/>
  </w:num>
  <w:num w:numId="13">
    <w:abstractNumId w:val="1"/>
  </w:num>
  <w:num w:numId="14">
    <w:abstractNumId w:val="0"/>
  </w:num>
  <w:num w:numId="15">
    <w:abstractNumId w:val="13"/>
  </w:num>
  <w:num w:numId="16">
    <w:abstractNumId w:val="14"/>
  </w:num>
  <w:num w:numId="17">
    <w:abstractNumId w:val="15"/>
  </w:num>
  <w:num w:numId="18">
    <w:abstractNumId w:val="9"/>
  </w:num>
  <w:num w:numId="19">
    <w:abstractNumId w:val="9"/>
  </w:num>
  <w:num w:numId="20">
    <w:abstractNumId w:val="9"/>
  </w:num>
  <w:num w:numId="21">
    <w:abstractNumId w:val="9"/>
  </w:num>
  <w:num w:numId="22">
    <w:abstractNumId w:val="9"/>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bcwMDU0NTOzsDQ3MDJU0lEKTi0uzszPAykwrAUA6HhxqSwAAAA="/>
  </w:docVars>
  <w:rsids>
    <w:rsidRoot w:val="00A6706B"/>
    <w:rsid w:val="00000A7F"/>
    <w:rsid w:val="00003CC5"/>
    <w:rsid w:val="0001048B"/>
    <w:rsid w:val="0001433C"/>
    <w:rsid w:val="000150D2"/>
    <w:rsid w:val="00015823"/>
    <w:rsid w:val="00015EBC"/>
    <w:rsid w:val="0001718F"/>
    <w:rsid w:val="0002439B"/>
    <w:rsid w:val="00045A69"/>
    <w:rsid w:val="00051BFC"/>
    <w:rsid w:val="00057B98"/>
    <w:rsid w:val="00060376"/>
    <w:rsid w:val="000603EE"/>
    <w:rsid w:val="00074F11"/>
    <w:rsid w:val="0007792B"/>
    <w:rsid w:val="00085E72"/>
    <w:rsid w:val="000879E3"/>
    <w:rsid w:val="000906E4"/>
    <w:rsid w:val="000914BD"/>
    <w:rsid w:val="000A23A7"/>
    <w:rsid w:val="000A5EF1"/>
    <w:rsid w:val="000A661F"/>
    <w:rsid w:val="000A6F21"/>
    <w:rsid w:val="000B3297"/>
    <w:rsid w:val="000B740D"/>
    <w:rsid w:val="000C0D64"/>
    <w:rsid w:val="000C20B1"/>
    <w:rsid w:val="000C2A2D"/>
    <w:rsid w:val="000D3006"/>
    <w:rsid w:val="000D38BC"/>
    <w:rsid w:val="000D3C72"/>
    <w:rsid w:val="000D58FC"/>
    <w:rsid w:val="000D5F62"/>
    <w:rsid w:val="000D730D"/>
    <w:rsid w:val="000E6D6C"/>
    <w:rsid w:val="00101EC0"/>
    <w:rsid w:val="00110855"/>
    <w:rsid w:val="00111C99"/>
    <w:rsid w:val="00111EC2"/>
    <w:rsid w:val="00115BAE"/>
    <w:rsid w:val="0011699E"/>
    <w:rsid w:val="001211A6"/>
    <w:rsid w:val="00133964"/>
    <w:rsid w:val="00141E6E"/>
    <w:rsid w:val="00143A78"/>
    <w:rsid w:val="00151DE8"/>
    <w:rsid w:val="00153C90"/>
    <w:rsid w:val="00161743"/>
    <w:rsid w:val="00166006"/>
    <w:rsid w:val="00166FB5"/>
    <w:rsid w:val="00171006"/>
    <w:rsid w:val="00176BEC"/>
    <w:rsid w:val="00176F1B"/>
    <w:rsid w:val="001809A8"/>
    <w:rsid w:val="00184DBF"/>
    <w:rsid w:val="0019566D"/>
    <w:rsid w:val="001A0261"/>
    <w:rsid w:val="001A0ACF"/>
    <w:rsid w:val="001A1FFE"/>
    <w:rsid w:val="001A39D7"/>
    <w:rsid w:val="001B21F2"/>
    <w:rsid w:val="001B36C0"/>
    <w:rsid w:val="001B3CDE"/>
    <w:rsid w:val="001B6A0C"/>
    <w:rsid w:val="001C7296"/>
    <w:rsid w:val="001E6F12"/>
    <w:rsid w:val="001F7D22"/>
    <w:rsid w:val="002032ED"/>
    <w:rsid w:val="0021337B"/>
    <w:rsid w:val="00215403"/>
    <w:rsid w:val="00221CF5"/>
    <w:rsid w:val="0022362A"/>
    <w:rsid w:val="002248E1"/>
    <w:rsid w:val="00232644"/>
    <w:rsid w:val="00233B47"/>
    <w:rsid w:val="0023561B"/>
    <w:rsid w:val="002361A9"/>
    <w:rsid w:val="0024276C"/>
    <w:rsid w:val="002476DA"/>
    <w:rsid w:val="00247DDD"/>
    <w:rsid w:val="00251B49"/>
    <w:rsid w:val="00253835"/>
    <w:rsid w:val="00256239"/>
    <w:rsid w:val="002645FC"/>
    <w:rsid w:val="002649CE"/>
    <w:rsid w:val="00265614"/>
    <w:rsid w:val="00265E98"/>
    <w:rsid w:val="00270259"/>
    <w:rsid w:val="00272877"/>
    <w:rsid w:val="00281CCA"/>
    <w:rsid w:val="00286C0E"/>
    <w:rsid w:val="00287D1C"/>
    <w:rsid w:val="00290DD8"/>
    <w:rsid w:val="00290FE7"/>
    <w:rsid w:val="00292E42"/>
    <w:rsid w:val="00296A4D"/>
    <w:rsid w:val="00297A2B"/>
    <w:rsid w:val="002A7A3E"/>
    <w:rsid w:val="002B0215"/>
    <w:rsid w:val="002B1254"/>
    <w:rsid w:val="002B4193"/>
    <w:rsid w:val="002B6771"/>
    <w:rsid w:val="002C0FF1"/>
    <w:rsid w:val="002C2CA2"/>
    <w:rsid w:val="002C2CEE"/>
    <w:rsid w:val="002C4B58"/>
    <w:rsid w:val="002D1734"/>
    <w:rsid w:val="002E41C1"/>
    <w:rsid w:val="002F2614"/>
    <w:rsid w:val="002F707E"/>
    <w:rsid w:val="002F724E"/>
    <w:rsid w:val="00304BCA"/>
    <w:rsid w:val="00311A0F"/>
    <w:rsid w:val="00311B99"/>
    <w:rsid w:val="003123A9"/>
    <w:rsid w:val="00314A0C"/>
    <w:rsid w:val="00320AED"/>
    <w:rsid w:val="003222BD"/>
    <w:rsid w:val="0032546B"/>
    <w:rsid w:val="003259C6"/>
    <w:rsid w:val="0033079A"/>
    <w:rsid w:val="003361FD"/>
    <w:rsid w:val="00354375"/>
    <w:rsid w:val="00356AF8"/>
    <w:rsid w:val="003642AE"/>
    <w:rsid w:val="0036584C"/>
    <w:rsid w:val="00374F0E"/>
    <w:rsid w:val="00381D55"/>
    <w:rsid w:val="00384FF2"/>
    <w:rsid w:val="0039155F"/>
    <w:rsid w:val="0039217A"/>
    <w:rsid w:val="003960BE"/>
    <w:rsid w:val="003A119E"/>
    <w:rsid w:val="003A72E7"/>
    <w:rsid w:val="003C4FD3"/>
    <w:rsid w:val="003C681A"/>
    <w:rsid w:val="003C6FD2"/>
    <w:rsid w:val="003E1E7B"/>
    <w:rsid w:val="003E2328"/>
    <w:rsid w:val="003E3B3D"/>
    <w:rsid w:val="003E4F8E"/>
    <w:rsid w:val="003F055C"/>
    <w:rsid w:val="00403036"/>
    <w:rsid w:val="004046F1"/>
    <w:rsid w:val="00405925"/>
    <w:rsid w:val="00406081"/>
    <w:rsid w:val="00406AA9"/>
    <w:rsid w:val="004120EB"/>
    <w:rsid w:val="00412AC6"/>
    <w:rsid w:val="004168D7"/>
    <w:rsid w:val="00427B45"/>
    <w:rsid w:val="00430188"/>
    <w:rsid w:val="00432493"/>
    <w:rsid w:val="00447642"/>
    <w:rsid w:val="004501BC"/>
    <w:rsid w:val="00451A65"/>
    <w:rsid w:val="00460D6D"/>
    <w:rsid w:val="00463D10"/>
    <w:rsid w:val="004669EA"/>
    <w:rsid w:val="004704A6"/>
    <w:rsid w:val="00470502"/>
    <w:rsid w:val="004721D8"/>
    <w:rsid w:val="00475E9F"/>
    <w:rsid w:val="00477066"/>
    <w:rsid w:val="0048024A"/>
    <w:rsid w:val="00481B9C"/>
    <w:rsid w:val="00482CE8"/>
    <w:rsid w:val="00482DF8"/>
    <w:rsid w:val="00485121"/>
    <w:rsid w:val="0049209A"/>
    <w:rsid w:val="00492FA2"/>
    <w:rsid w:val="004A280A"/>
    <w:rsid w:val="004A565C"/>
    <w:rsid w:val="004B02BD"/>
    <w:rsid w:val="004B29C7"/>
    <w:rsid w:val="004C0CA5"/>
    <w:rsid w:val="004D153E"/>
    <w:rsid w:val="004D1B4E"/>
    <w:rsid w:val="004D20E0"/>
    <w:rsid w:val="004D5920"/>
    <w:rsid w:val="004F2B57"/>
    <w:rsid w:val="00503725"/>
    <w:rsid w:val="00504F2C"/>
    <w:rsid w:val="00507407"/>
    <w:rsid w:val="005109D1"/>
    <w:rsid w:val="00511B23"/>
    <w:rsid w:val="00512B71"/>
    <w:rsid w:val="00515DC4"/>
    <w:rsid w:val="00532BDC"/>
    <w:rsid w:val="005331AF"/>
    <w:rsid w:val="00535464"/>
    <w:rsid w:val="00537DDD"/>
    <w:rsid w:val="00544703"/>
    <w:rsid w:val="005448A0"/>
    <w:rsid w:val="00552FF7"/>
    <w:rsid w:val="0055572F"/>
    <w:rsid w:val="005604F2"/>
    <w:rsid w:val="005608E0"/>
    <w:rsid w:val="00566750"/>
    <w:rsid w:val="00566F2D"/>
    <w:rsid w:val="005709BF"/>
    <w:rsid w:val="00570AD2"/>
    <w:rsid w:val="0058143F"/>
    <w:rsid w:val="005849EC"/>
    <w:rsid w:val="005866CB"/>
    <w:rsid w:val="005866F9"/>
    <w:rsid w:val="0059413E"/>
    <w:rsid w:val="005967CF"/>
    <w:rsid w:val="005A1FB3"/>
    <w:rsid w:val="005A35E1"/>
    <w:rsid w:val="005B0DC9"/>
    <w:rsid w:val="005B4421"/>
    <w:rsid w:val="005B58E3"/>
    <w:rsid w:val="005B7AD8"/>
    <w:rsid w:val="005C162B"/>
    <w:rsid w:val="005C3982"/>
    <w:rsid w:val="005C494D"/>
    <w:rsid w:val="005D19AC"/>
    <w:rsid w:val="005D52DF"/>
    <w:rsid w:val="005E00CD"/>
    <w:rsid w:val="005E38FE"/>
    <w:rsid w:val="005E3AB8"/>
    <w:rsid w:val="005E6487"/>
    <w:rsid w:val="005E6B72"/>
    <w:rsid w:val="005E7FBD"/>
    <w:rsid w:val="005F4AA5"/>
    <w:rsid w:val="005F706D"/>
    <w:rsid w:val="006010CB"/>
    <w:rsid w:val="00602DCB"/>
    <w:rsid w:val="00603E71"/>
    <w:rsid w:val="00604171"/>
    <w:rsid w:val="00606B65"/>
    <w:rsid w:val="006102D9"/>
    <w:rsid w:val="00613756"/>
    <w:rsid w:val="00615878"/>
    <w:rsid w:val="006205C3"/>
    <w:rsid w:val="006249FE"/>
    <w:rsid w:val="006270EF"/>
    <w:rsid w:val="00631EF4"/>
    <w:rsid w:val="00632375"/>
    <w:rsid w:val="00634A3B"/>
    <w:rsid w:val="006372CE"/>
    <w:rsid w:val="00640E2F"/>
    <w:rsid w:val="00641658"/>
    <w:rsid w:val="00642107"/>
    <w:rsid w:val="00644673"/>
    <w:rsid w:val="006456E5"/>
    <w:rsid w:val="0065369A"/>
    <w:rsid w:val="006573D1"/>
    <w:rsid w:val="00657963"/>
    <w:rsid w:val="00664135"/>
    <w:rsid w:val="00666D7D"/>
    <w:rsid w:val="00672B83"/>
    <w:rsid w:val="00674FA2"/>
    <w:rsid w:val="00675B3F"/>
    <w:rsid w:val="0067633D"/>
    <w:rsid w:val="006821DA"/>
    <w:rsid w:val="006867EE"/>
    <w:rsid w:val="00691EF6"/>
    <w:rsid w:val="00697885"/>
    <w:rsid w:val="006A36FF"/>
    <w:rsid w:val="006A57D8"/>
    <w:rsid w:val="006B2CAB"/>
    <w:rsid w:val="006B3A7A"/>
    <w:rsid w:val="006B572B"/>
    <w:rsid w:val="006B5AE0"/>
    <w:rsid w:val="006B7942"/>
    <w:rsid w:val="006C23D8"/>
    <w:rsid w:val="006C5497"/>
    <w:rsid w:val="006C7C7C"/>
    <w:rsid w:val="006D521A"/>
    <w:rsid w:val="006D6600"/>
    <w:rsid w:val="006E1B54"/>
    <w:rsid w:val="006E1FCF"/>
    <w:rsid w:val="006E6480"/>
    <w:rsid w:val="006E69CD"/>
    <w:rsid w:val="006E6FF6"/>
    <w:rsid w:val="006F36CD"/>
    <w:rsid w:val="006F5D90"/>
    <w:rsid w:val="007039A9"/>
    <w:rsid w:val="00705380"/>
    <w:rsid w:val="00706304"/>
    <w:rsid w:val="00710222"/>
    <w:rsid w:val="00712859"/>
    <w:rsid w:val="00724D2B"/>
    <w:rsid w:val="00732F02"/>
    <w:rsid w:val="007344C2"/>
    <w:rsid w:val="007370A2"/>
    <w:rsid w:val="00742E1E"/>
    <w:rsid w:val="0074748F"/>
    <w:rsid w:val="00754DC8"/>
    <w:rsid w:val="00760189"/>
    <w:rsid w:val="0076141A"/>
    <w:rsid w:val="00763290"/>
    <w:rsid w:val="00763E8D"/>
    <w:rsid w:val="00771B87"/>
    <w:rsid w:val="00772E51"/>
    <w:rsid w:val="00773B65"/>
    <w:rsid w:val="00773EE5"/>
    <w:rsid w:val="00776464"/>
    <w:rsid w:val="00777A0D"/>
    <w:rsid w:val="00781B98"/>
    <w:rsid w:val="00792C56"/>
    <w:rsid w:val="007940CD"/>
    <w:rsid w:val="00797508"/>
    <w:rsid w:val="00797BC1"/>
    <w:rsid w:val="007B2EC0"/>
    <w:rsid w:val="007B60AD"/>
    <w:rsid w:val="007B792A"/>
    <w:rsid w:val="007C15B8"/>
    <w:rsid w:val="007C5E17"/>
    <w:rsid w:val="007D0471"/>
    <w:rsid w:val="007D3C49"/>
    <w:rsid w:val="007D482A"/>
    <w:rsid w:val="007D5B0F"/>
    <w:rsid w:val="007D6B07"/>
    <w:rsid w:val="007D7C6F"/>
    <w:rsid w:val="007E729A"/>
    <w:rsid w:val="007F01B7"/>
    <w:rsid w:val="007F4FD6"/>
    <w:rsid w:val="007F61D0"/>
    <w:rsid w:val="0080486B"/>
    <w:rsid w:val="0081569E"/>
    <w:rsid w:val="00820212"/>
    <w:rsid w:val="00824966"/>
    <w:rsid w:val="00834D97"/>
    <w:rsid w:val="00834F82"/>
    <w:rsid w:val="008361CD"/>
    <w:rsid w:val="00840A80"/>
    <w:rsid w:val="00842824"/>
    <w:rsid w:val="00843F6F"/>
    <w:rsid w:val="00844B47"/>
    <w:rsid w:val="00844DDA"/>
    <w:rsid w:val="008451FA"/>
    <w:rsid w:val="0084605A"/>
    <w:rsid w:val="00853AB5"/>
    <w:rsid w:val="00854C40"/>
    <w:rsid w:val="00855A80"/>
    <w:rsid w:val="008644E4"/>
    <w:rsid w:val="00864698"/>
    <w:rsid w:val="00866AC9"/>
    <w:rsid w:val="008744AB"/>
    <w:rsid w:val="00885470"/>
    <w:rsid w:val="00895E7F"/>
    <w:rsid w:val="008A0F47"/>
    <w:rsid w:val="008A29EC"/>
    <w:rsid w:val="008A47D6"/>
    <w:rsid w:val="008B3A52"/>
    <w:rsid w:val="008B62D5"/>
    <w:rsid w:val="008C75BB"/>
    <w:rsid w:val="008D053A"/>
    <w:rsid w:val="008D0780"/>
    <w:rsid w:val="008D4E6C"/>
    <w:rsid w:val="008F25F1"/>
    <w:rsid w:val="008F7789"/>
    <w:rsid w:val="0090114F"/>
    <w:rsid w:val="009016FA"/>
    <w:rsid w:val="00902C1F"/>
    <w:rsid w:val="0091435F"/>
    <w:rsid w:val="0091671C"/>
    <w:rsid w:val="00927B83"/>
    <w:rsid w:val="0093295A"/>
    <w:rsid w:val="00934342"/>
    <w:rsid w:val="009352B5"/>
    <w:rsid w:val="0093613C"/>
    <w:rsid w:val="00936350"/>
    <w:rsid w:val="00940348"/>
    <w:rsid w:val="00942B9E"/>
    <w:rsid w:val="0094301D"/>
    <w:rsid w:val="00954A1C"/>
    <w:rsid w:val="00965351"/>
    <w:rsid w:val="009709C5"/>
    <w:rsid w:val="00974DDB"/>
    <w:rsid w:val="0097672B"/>
    <w:rsid w:val="0098040A"/>
    <w:rsid w:val="00981476"/>
    <w:rsid w:val="009861EC"/>
    <w:rsid w:val="00986A61"/>
    <w:rsid w:val="0098767F"/>
    <w:rsid w:val="009939F7"/>
    <w:rsid w:val="009A77ED"/>
    <w:rsid w:val="009B0FD2"/>
    <w:rsid w:val="009B2AAB"/>
    <w:rsid w:val="009B603C"/>
    <w:rsid w:val="009C0A96"/>
    <w:rsid w:val="009C33F9"/>
    <w:rsid w:val="009C4CEF"/>
    <w:rsid w:val="009C6ADD"/>
    <w:rsid w:val="009C7A85"/>
    <w:rsid w:val="009D33BE"/>
    <w:rsid w:val="009D66DC"/>
    <w:rsid w:val="009D69CA"/>
    <w:rsid w:val="009D6B10"/>
    <w:rsid w:val="009E202F"/>
    <w:rsid w:val="009E23F4"/>
    <w:rsid w:val="009E28DF"/>
    <w:rsid w:val="009E34ED"/>
    <w:rsid w:val="009E379D"/>
    <w:rsid w:val="009E3C95"/>
    <w:rsid w:val="009E483E"/>
    <w:rsid w:val="009E72FB"/>
    <w:rsid w:val="009F52E2"/>
    <w:rsid w:val="009F60A3"/>
    <w:rsid w:val="00A01C4B"/>
    <w:rsid w:val="00A01EE5"/>
    <w:rsid w:val="00A039D2"/>
    <w:rsid w:val="00A05A23"/>
    <w:rsid w:val="00A14E85"/>
    <w:rsid w:val="00A156E8"/>
    <w:rsid w:val="00A23E57"/>
    <w:rsid w:val="00A269DB"/>
    <w:rsid w:val="00A307DC"/>
    <w:rsid w:val="00A35821"/>
    <w:rsid w:val="00A35B95"/>
    <w:rsid w:val="00A36376"/>
    <w:rsid w:val="00A3703A"/>
    <w:rsid w:val="00A47F66"/>
    <w:rsid w:val="00A52088"/>
    <w:rsid w:val="00A55BAE"/>
    <w:rsid w:val="00A57F37"/>
    <w:rsid w:val="00A6040B"/>
    <w:rsid w:val="00A6197F"/>
    <w:rsid w:val="00A6241E"/>
    <w:rsid w:val="00A6706B"/>
    <w:rsid w:val="00A67590"/>
    <w:rsid w:val="00A7002F"/>
    <w:rsid w:val="00A726ED"/>
    <w:rsid w:val="00A7462D"/>
    <w:rsid w:val="00A80601"/>
    <w:rsid w:val="00A80CC7"/>
    <w:rsid w:val="00A84345"/>
    <w:rsid w:val="00A94F3B"/>
    <w:rsid w:val="00A97416"/>
    <w:rsid w:val="00AA0418"/>
    <w:rsid w:val="00AA1C99"/>
    <w:rsid w:val="00AA583A"/>
    <w:rsid w:val="00AA6C40"/>
    <w:rsid w:val="00AA72BB"/>
    <w:rsid w:val="00AB2825"/>
    <w:rsid w:val="00AB2F38"/>
    <w:rsid w:val="00AB6EA0"/>
    <w:rsid w:val="00AC5135"/>
    <w:rsid w:val="00AC6739"/>
    <w:rsid w:val="00AC7914"/>
    <w:rsid w:val="00AD1261"/>
    <w:rsid w:val="00AD18A4"/>
    <w:rsid w:val="00AD1DA8"/>
    <w:rsid w:val="00AD7BA5"/>
    <w:rsid w:val="00AE0537"/>
    <w:rsid w:val="00AE0DC4"/>
    <w:rsid w:val="00AF05FA"/>
    <w:rsid w:val="00AF2409"/>
    <w:rsid w:val="00AF3C63"/>
    <w:rsid w:val="00AF3D87"/>
    <w:rsid w:val="00AF3F20"/>
    <w:rsid w:val="00B06AB1"/>
    <w:rsid w:val="00B12B23"/>
    <w:rsid w:val="00B23ADE"/>
    <w:rsid w:val="00B2499D"/>
    <w:rsid w:val="00B26791"/>
    <w:rsid w:val="00B332EF"/>
    <w:rsid w:val="00B45721"/>
    <w:rsid w:val="00B6271D"/>
    <w:rsid w:val="00B62971"/>
    <w:rsid w:val="00B67F19"/>
    <w:rsid w:val="00B75D32"/>
    <w:rsid w:val="00B77C47"/>
    <w:rsid w:val="00B77ED3"/>
    <w:rsid w:val="00B8264E"/>
    <w:rsid w:val="00B8484B"/>
    <w:rsid w:val="00B979B0"/>
    <w:rsid w:val="00BA1494"/>
    <w:rsid w:val="00BA2B8C"/>
    <w:rsid w:val="00BA3B32"/>
    <w:rsid w:val="00BA512D"/>
    <w:rsid w:val="00BB2B59"/>
    <w:rsid w:val="00BB5940"/>
    <w:rsid w:val="00BB6AA8"/>
    <w:rsid w:val="00BC25EC"/>
    <w:rsid w:val="00BC2BBE"/>
    <w:rsid w:val="00BC5CB8"/>
    <w:rsid w:val="00BC6016"/>
    <w:rsid w:val="00BC6D77"/>
    <w:rsid w:val="00BC7866"/>
    <w:rsid w:val="00BD35E8"/>
    <w:rsid w:val="00BE2499"/>
    <w:rsid w:val="00BE3077"/>
    <w:rsid w:val="00BF21C1"/>
    <w:rsid w:val="00BF7414"/>
    <w:rsid w:val="00BF7F9B"/>
    <w:rsid w:val="00C001A5"/>
    <w:rsid w:val="00C01503"/>
    <w:rsid w:val="00C03018"/>
    <w:rsid w:val="00C05173"/>
    <w:rsid w:val="00C1240E"/>
    <w:rsid w:val="00C14C71"/>
    <w:rsid w:val="00C15333"/>
    <w:rsid w:val="00C20BFB"/>
    <w:rsid w:val="00C218FF"/>
    <w:rsid w:val="00C26071"/>
    <w:rsid w:val="00C262C8"/>
    <w:rsid w:val="00C26389"/>
    <w:rsid w:val="00C3571D"/>
    <w:rsid w:val="00C36319"/>
    <w:rsid w:val="00C4288D"/>
    <w:rsid w:val="00C5252E"/>
    <w:rsid w:val="00C53FCF"/>
    <w:rsid w:val="00C548B4"/>
    <w:rsid w:val="00C54997"/>
    <w:rsid w:val="00C551ED"/>
    <w:rsid w:val="00C55EBE"/>
    <w:rsid w:val="00C570F4"/>
    <w:rsid w:val="00C77A3D"/>
    <w:rsid w:val="00C77EAE"/>
    <w:rsid w:val="00C87555"/>
    <w:rsid w:val="00C877D3"/>
    <w:rsid w:val="00C87BD2"/>
    <w:rsid w:val="00C95179"/>
    <w:rsid w:val="00CA0AFA"/>
    <w:rsid w:val="00CA30E6"/>
    <w:rsid w:val="00CA5FD4"/>
    <w:rsid w:val="00CC0C23"/>
    <w:rsid w:val="00CC22F2"/>
    <w:rsid w:val="00CC3BFD"/>
    <w:rsid w:val="00CC4A17"/>
    <w:rsid w:val="00CD0CC7"/>
    <w:rsid w:val="00CD1399"/>
    <w:rsid w:val="00CD383D"/>
    <w:rsid w:val="00CD65AF"/>
    <w:rsid w:val="00CF33F0"/>
    <w:rsid w:val="00CF680B"/>
    <w:rsid w:val="00CF795D"/>
    <w:rsid w:val="00D00567"/>
    <w:rsid w:val="00D00ED5"/>
    <w:rsid w:val="00D0378A"/>
    <w:rsid w:val="00D03B30"/>
    <w:rsid w:val="00D05839"/>
    <w:rsid w:val="00D13140"/>
    <w:rsid w:val="00D15CBB"/>
    <w:rsid w:val="00D17D1B"/>
    <w:rsid w:val="00D22238"/>
    <w:rsid w:val="00D227D1"/>
    <w:rsid w:val="00D22A75"/>
    <w:rsid w:val="00D30F1C"/>
    <w:rsid w:val="00D360EB"/>
    <w:rsid w:val="00D47FB2"/>
    <w:rsid w:val="00D51A13"/>
    <w:rsid w:val="00D51F61"/>
    <w:rsid w:val="00D53FE7"/>
    <w:rsid w:val="00D62E07"/>
    <w:rsid w:val="00D637F4"/>
    <w:rsid w:val="00D736A1"/>
    <w:rsid w:val="00D80AE8"/>
    <w:rsid w:val="00D87159"/>
    <w:rsid w:val="00DA0451"/>
    <w:rsid w:val="00DA0E28"/>
    <w:rsid w:val="00DB3A65"/>
    <w:rsid w:val="00DB3B60"/>
    <w:rsid w:val="00DC72C5"/>
    <w:rsid w:val="00DD6C03"/>
    <w:rsid w:val="00DD74B4"/>
    <w:rsid w:val="00DE0C36"/>
    <w:rsid w:val="00DE1091"/>
    <w:rsid w:val="00DE3978"/>
    <w:rsid w:val="00DE48CE"/>
    <w:rsid w:val="00DF12F5"/>
    <w:rsid w:val="00DF15DD"/>
    <w:rsid w:val="00E00B74"/>
    <w:rsid w:val="00E01C91"/>
    <w:rsid w:val="00E03183"/>
    <w:rsid w:val="00E03A1C"/>
    <w:rsid w:val="00E0503D"/>
    <w:rsid w:val="00E106E0"/>
    <w:rsid w:val="00E14371"/>
    <w:rsid w:val="00E162B6"/>
    <w:rsid w:val="00E17759"/>
    <w:rsid w:val="00E17AF6"/>
    <w:rsid w:val="00E21EE3"/>
    <w:rsid w:val="00E257B7"/>
    <w:rsid w:val="00E27C00"/>
    <w:rsid w:val="00E313C3"/>
    <w:rsid w:val="00E319D8"/>
    <w:rsid w:val="00E3398E"/>
    <w:rsid w:val="00E33F47"/>
    <w:rsid w:val="00E34F84"/>
    <w:rsid w:val="00E4048E"/>
    <w:rsid w:val="00E41BF7"/>
    <w:rsid w:val="00E4393B"/>
    <w:rsid w:val="00E44079"/>
    <w:rsid w:val="00E5639D"/>
    <w:rsid w:val="00E57182"/>
    <w:rsid w:val="00E65E38"/>
    <w:rsid w:val="00E73D21"/>
    <w:rsid w:val="00E80211"/>
    <w:rsid w:val="00E81519"/>
    <w:rsid w:val="00E825B0"/>
    <w:rsid w:val="00E83E4F"/>
    <w:rsid w:val="00E929AC"/>
    <w:rsid w:val="00E96953"/>
    <w:rsid w:val="00EB5EF3"/>
    <w:rsid w:val="00EB7B7B"/>
    <w:rsid w:val="00EC2F64"/>
    <w:rsid w:val="00EC388C"/>
    <w:rsid w:val="00EC3B10"/>
    <w:rsid w:val="00EC4097"/>
    <w:rsid w:val="00EC7410"/>
    <w:rsid w:val="00ED4EA3"/>
    <w:rsid w:val="00ED65C4"/>
    <w:rsid w:val="00ED7CE2"/>
    <w:rsid w:val="00EE440E"/>
    <w:rsid w:val="00EF3E14"/>
    <w:rsid w:val="00EF4F6A"/>
    <w:rsid w:val="00F018EC"/>
    <w:rsid w:val="00F03733"/>
    <w:rsid w:val="00F0636C"/>
    <w:rsid w:val="00F06401"/>
    <w:rsid w:val="00F109A0"/>
    <w:rsid w:val="00F11BDF"/>
    <w:rsid w:val="00F129E1"/>
    <w:rsid w:val="00F138CC"/>
    <w:rsid w:val="00F16D8E"/>
    <w:rsid w:val="00F23843"/>
    <w:rsid w:val="00F30950"/>
    <w:rsid w:val="00F34707"/>
    <w:rsid w:val="00F42451"/>
    <w:rsid w:val="00F42A14"/>
    <w:rsid w:val="00F43E5B"/>
    <w:rsid w:val="00F4732F"/>
    <w:rsid w:val="00F50064"/>
    <w:rsid w:val="00F51424"/>
    <w:rsid w:val="00F51CBB"/>
    <w:rsid w:val="00F61144"/>
    <w:rsid w:val="00F62784"/>
    <w:rsid w:val="00F676FD"/>
    <w:rsid w:val="00F73D23"/>
    <w:rsid w:val="00F8088B"/>
    <w:rsid w:val="00F83410"/>
    <w:rsid w:val="00F84A38"/>
    <w:rsid w:val="00F91941"/>
    <w:rsid w:val="00FA2A97"/>
    <w:rsid w:val="00FA2DCE"/>
    <w:rsid w:val="00FB3E8D"/>
    <w:rsid w:val="00FB642E"/>
    <w:rsid w:val="00FC483C"/>
    <w:rsid w:val="00FC68F0"/>
    <w:rsid w:val="00FE00A3"/>
    <w:rsid w:val="00FE1F82"/>
    <w:rsid w:val="00FE1FDA"/>
    <w:rsid w:val="00FE4E4F"/>
    <w:rsid w:val="00FE76EC"/>
    <w:rsid w:val="00FF0D97"/>
    <w:rsid w:val="00FF2CB4"/>
    <w:rsid w:val="00FF3B4E"/>
    <w:rsid w:val="00FF491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1CE135"/>
  <w15:docId w15:val="{EB31AB0E-D0BA-4D02-ADEF-DCE8BE60D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4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3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4966"/>
    <w:pPr>
      <w:numPr>
        <w:numId w:val="1"/>
      </w:numPr>
      <w:spacing w:line="240" w:lineRule="auto"/>
      <w:ind w:left="437" w:hanging="461"/>
      <w:contextualSpacing/>
    </w:pPr>
    <w:rPr>
      <w:b/>
    </w:rPr>
  </w:style>
  <w:style w:type="paragraph" w:styleId="BalloonText">
    <w:name w:val="Balloon Text"/>
    <w:basedOn w:val="Normal"/>
    <w:link w:val="BalloonTextChar"/>
    <w:uiPriority w:val="99"/>
    <w:semiHidden/>
    <w:unhideWhenUsed/>
    <w:rsid w:val="00C55E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5EBE"/>
    <w:rPr>
      <w:rFonts w:ascii="Tahoma" w:hAnsi="Tahoma" w:cs="Tahoma"/>
      <w:sz w:val="16"/>
      <w:szCs w:val="16"/>
    </w:rPr>
  </w:style>
  <w:style w:type="paragraph" w:customStyle="1" w:styleId="Bullets">
    <w:name w:val="Bullets"/>
    <w:basedOn w:val="ListParagraph"/>
    <w:qFormat/>
    <w:rsid w:val="00824966"/>
    <w:pPr>
      <w:numPr>
        <w:numId w:val="2"/>
      </w:numPr>
      <w:spacing w:after="0"/>
    </w:pPr>
    <w:rPr>
      <w:b w:val="0"/>
    </w:rPr>
  </w:style>
  <w:style w:type="character" w:styleId="CommentReference">
    <w:name w:val="annotation reference"/>
    <w:basedOn w:val="DefaultParagraphFont"/>
    <w:uiPriority w:val="99"/>
    <w:semiHidden/>
    <w:unhideWhenUsed/>
    <w:rsid w:val="004D1B4E"/>
    <w:rPr>
      <w:sz w:val="16"/>
      <w:szCs w:val="16"/>
    </w:rPr>
  </w:style>
  <w:style w:type="paragraph" w:styleId="CommentText">
    <w:name w:val="annotation text"/>
    <w:basedOn w:val="Normal"/>
    <w:link w:val="CommentTextChar"/>
    <w:uiPriority w:val="99"/>
    <w:unhideWhenUsed/>
    <w:rsid w:val="004D1B4E"/>
    <w:pPr>
      <w:spacing w:line="240" w:lineRule="auto"/>
    </w:pPr>
    <w:rPr>
      <w:sz w:val="20"/>
      <w:szCs w:val="20"/>
    </w:rPr>
  </w:style>
  <w:style w:type="character" w:customStyle="1" w:styleId="CommentTextChar">
    <w:name w:val="Comment Text Char"/>
    <w:basedOn w:val="DefaultParagraphFont"/>
    <w:link w:val="CommentText"/>
    <w:uiPriority w:val="99"/>
    <w:rsid w:val="004D1B4E"/>
    <w:rPr>
      <w:sz w:val="20"/>
      <w:szCs w:val="20"/>
    </w:rPr>
  </w:style>
  <w:style w:type="paragraph" w:styleId="CommentSubject">
    <w:name w:val="annotation subject"/>
    <w:basedOn w:val="CommentText"/>
    <w:next w:val="CommentText"/>
    <w:link w:val="CommentSubjectChar"/>
    <w:uiPriority w:val="99"/>
    <w:semiHidden/>
    <w:unhideWhenUsed/>
    <w:rsid w:val="004D1B4E"/>
    <w:rPr>
      <w:b/>
      <w:bCs/>
    </w:rPr>
  </w:style>
  <w:style w:type="character" w:customStyle="1" w:styleId="CommentSubjectChar">
    <w:name w:val="Comment Subject Char"/>
    <w:basedOn w:val="CommentTextChar"/>
    <w:link w:val="CommentSubject"/>
    <w:uiPriority w:val="99"/>
    <w:semiHidden/>
    <w:rsid w:val="004D1B4E"/>
    <w:rPr>
      <w:b/>
      <w:bCs/>
      <w:sz w:val="20"/>
      <w:szCs w:val="20"/>
    </w:rPr>
  </w:style>
  <w:style w:type="paragraph" w:styleId="Revision">
    <w:name w:val="Revision"/>
    <w:hidden/>
    <w:uiPriority w:val="99"/>
    <w:semiHidden/>
    <w:rsid w:val="0080486B"/>
    <w:pPr>
      <w:spacing w:after="0" w:line="240" w:lineRule="auto"/>
    </w:pPr>
  </w:style>
  <w:style w:type="character" w:styleId="Hyperlink">
    <w:name w:val="Hyperlink"/>
    <w:basedOn w:val="DefaultParagraphFont"/>
    <w:uiPriority w:val="99"/>
    <w:unhideWhenUsed/>
    <w:rsid w:val="00B8264E"/>
    <w:rPr>
      <w:color w:val="0563C1" w:themeColor="hyperlink"/>
      <w:u w:val="single"/>
    </w:rPr>
  </w:style>
  <w:style w:type="paragraph" w:styleId="Header">
    <w:name w:val="header"/>
    <w:basedOn w:val="Normal"/>
    <w:link w:val="HeaderChar"/>
    <w:uiPriority w:val="99"/>
    <w:unhideWhenUsed/>
    <w:rsid w:val="00E33F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3F47"/>
  </w:style>
  <w:style w:type="paragraph" w:styleId="Footer">
    <w:name w:val="footer"/>
    <w:basedOn w:val="Normal"/>
    <w:link w:val="FooterChar"/>
    <w:uiPriority w:val="99"/>
    <w:unhideWhenUsed/>
    <w:rsid w:val="00E33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3F47"/>
  </w:style>
  <w:style w:type="paragraph" w:styleId="FootnoteText">
    <w:name w:val="footnote text"/>
    <w:basedOn w:val="Normal"/>
    <w:link w:val="FootnoteTextChar"/>
    <w:uiPriority w:val="99"/>
    <w:semiHidden/>
    <w:unhideWhenUsed/>
    <w:rsid w:val="00F037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3733"/>
    <w:rPr>
      <w:sz w:val="20"/>
      <w:szCs w:val="20"/>
    </w:rPr>
  </w:style>
  <w:style w:type="character" w:styleId="FootnoteReference">
    <w:name w:val="footnote reference"/>
    <w:basedOn w:val="DefaultParagraphFont"/>
    <w:uiPriority w:val="99"/>
    <w:semiHidden/>
    <w:unhideWhenUsed/>
    <w:rsid w:val="00F03733"/>
    <w:rPr>
      <w:vertAlign w:val="superscript"/>
    </w:rPr>
  </w:style>
  <w:style w:type="paragraph" w:styleId="EndnoteText">
    <w:name w:val="endnote text"/>
    <w:basedOn w:val="Normal"/>
    <w:link w:val="EndnoteTextChar"/>
    <w:uiPriority w:val="99"/>
    <w:unhideWhenUsed/>
    <w:rsid w:val="002B0215"/>
    <w:pPr>
      <w:spacing w:after="0" w:line="240" w:lineRule="auto"/>
    </w:pPr>
    <w:rPr>
      <w:sz w:val="20"/>
      <w:szCs w:val="20"/>
    </w:rPr>
  </w:style>
  <w:style w:type="character" w:customStyle="1" w:styleId="EndnoteTextChar">
    <w:name w:val="Endnote Text Char"/>
    <w:basedOn w:val="DefaultParagraphFont"/>
    <w:link w:val="EndnoteText"/>
    <w:uiPriority w:val="99"/>
    <w:rsid w:val="002B0215"/>
    <w:rPr>
      <w:sz w:val="20"/>
      <w:szCs w:val="20"/>
    </w:rPr>
  </w:style>
  <w:style w:type="character" w:styleId="EndnoteReference">
    <w:name w:val="endnote reference"/>
    <w:basedOn w:val="DefaultParagraphFont"/>
    <w:uiPriority w:val="99"/>
    <w:semiHidden/>
    <w:unhideWhenUsed/>
    <w:rsid w:val="002B0215"/>
    <w:rPr>
      <w:vertAlign w:val="superscript"/>
    </w:rPr>
  </w:style>
  <w:style w:type="paragraph" w:styleId="NormalWeb">
    <w:name w:val="Normal (Web)"/>
    <w:basedOn w:val="Normal"/>
    <w:uiPriority w:val="99"/>
    <w:unhideWhenUsed/>
    <w:rsid w:val="00C551ED"/>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styleId="Strong">
    <w:name w:val="Strong"/>
    <w:basedOn w:val="DefaultParagraphFont"/>
    <w:uiPriority w:val="22"/>
    <w:qFormat/>
    <w:rsid w:val="00C551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97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A36F1-F053-4A41-AD15-B620A724C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1387</Words>
  <Characters>7909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CPO</Company>
  <LinksUpToDate>false</LinksUpToDate>
  <CharactersWithSpaces>9278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Joyce Huang</dc:creator>
  <cp:lastModifiedBy>Tova Wallace</cp:lastModifiedBy>
  <cp:revision>2</cp:revision>
  <cp:lastPrinted>2017-11-28T14:52:00Z</cp:lastPrinted>
  <dcterms:created xsi:type="dcterms:W3CDTF">2017-11-28T17:39:00Z</dcterms:created>
  <dcterms:modified xsi:type="dcterms:W3CDTF">2017-11-28T17:39:00Z</dcterms:modified>
</cp:coreProperties>
</file>