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0366" w14:textId="11FDC1E4" w:rsidR="00B61C60" w:rsidRPr="00541AD6" w:rsidRDefault="00B61C60" w:rsidP="4A5A93BD">
      <w:pPr>
        <w:spacing w:line="240" w:lineRule="auto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10299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25"/>
        <w:gridCol w:w="7874"/>
      </w:tblGrid>
      <w:tr w:rsidR="00D46212" w:rsidRPr="00541AD6" w14:paraId="78E68602" w14:textId="77777777" w:rsidTr="00842EC5">
        <w:tc>
          <w:tcPr>
            <w:tcW w:w="2425" w:type="dxa"/>
          </w:tcPr>
          <w:p w14:paraId="519CDE47" w14:textId="77777777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Department</w:t>
            </w:r>
          </w:p>
        </w:tc>
        <w:tc>
          <w:tcPr>
            <w:tcW w:w="7874" w:type="dxa"/>
          </w:tcPr>
          <w:p w14:paraId="0A083BB0" w14:textId="2E11CD7C" w:rsidR="00D46212" w:rsidRPr="00A25836" w:rsidRDefault="00541AD6" w:rsidP="4A5A93BD">
            <w:pPr>
              <w:tabs>
                <w:tab w:val="left" w:pos="3026"/>
              </w:tabs>
              <w:spacing w:line="240" w:lineRule="auto"/>
              <w:rPr>
                <w:rFonts w:ascii="Calibri" w:hAnsi="Calibri" w:cs="Calibri"/>
                <w:sz w:val="24"/>
              </w:rPr>
            </w:pPr>
            <w:r w:rsidRPr="4A5A93BD">
              <w:rPr>
                <w:rFonts w:ascii="Calibri" w:hAnsi="Calibri" w:cs="Calibri"/>
                <w:sz w:val="24"/>
              </w:rPr>
              <w:t>Exam</w:t>
            </w:r>
            <w:r w:rsidR="00D46212">
              <w:tab/>
            </w:r>
          </w:p>
        </w:tc>
      </w:tr>
      <w:tr w:rsidR="00D46212" w:rsidRPr="00541AD6" w14:paraId="5C436125" w14:textId="77777777" w:rsidTr="00842EC5">
        <w:tc>
          <w:tcPr>
            <w:tcW w:w="2425" w:type="dxa"/>
          </w:tcPr>
          <w:p w14:paraId="3EAFE7F9" w14:textId="77777777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Title</w:t>
            </w:r>
          </w:p>
        </w:tc>
        <w:tc>
          <w:tcPr>
            <w:tcW w:w="7874" w:type="dxa"/>
          </w:tcPr>
          <w:p w14:paraId="7D630F00" w14:textId="7C04CAF6" w:rsidR="00D46212" w:rsidRPr="00A25836" w:rsidRDefault="00A25836" w:rsidP="00520B40">
            <w:pPr>
              <w:pStyle w:val="BodyText"/>
              <w:rPr>
                <w:rFonts w:eastAsia="Calibri"/>
                <w:lang w:val="en-US"/>
              </w:rPr>
            </w:pPr>
            <w:r w:rsidRPr="4A5A93BD">
              <w:rPr>
                <w:rFonts w:eastAsia="Calibri"/>
                <w:lang w:val="en-US"/>
              </w:rPr>
              <w:t xml:space="preserve">Exam Policy – </w:t>
            </w:r>
            <w:r w:rsidR="00520B40" w:rsidRPr="00520B40">
              <w:rPr>
                <w:rFonts w:eastAsia="Calibri"/>
                <w:lang w:val="en-US"/>
              </w:rPr>
              <w:t>Applying and Scheduling</w:t>
            </w:r>
          </w:p>
        </w:tc>
      </w:tr>
      <w:tr w:rsidR="00D46212" w:rsidRPr="00541AD6" w14:paraId="7B106E87" w14:textId="77777777" w:rsidTr="00842EC5">
        <w:tc>
          <w:tcPr>
            <w:tcW w:w="2425" w:type="dxa"/>
          </w:tcPr>
          <w:p w14:paraId="1FF2A2E2" w14:textId="55F73255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 xml:space="preserve">Date </w:t>
            </w:r>
            <w:r w:rsidR="0BE01A35" w:rsidRPr="4A5A93BD">
              <w:rPr>
                <w:rFonts w:ascii="Calibri" w:hAnsi="Calibri" w:cs="Calibri"/>
                <w:b/>
                <w:bCs/>
                <w:sz w:val="24"/>
              </w:rPr>
              <w:t>Approved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3A5F74CB" w14:textId="070C94B8" w:rsidR="00D46212" w:rsidRPr="00541AD6" w:rsidRDefault="00520B40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January 2023</w:t>
            </w:r>
          </w:p>
        </w:tc>
      </w:tr>
      <w:tr w:rsidR="00D46212" w:rsidRPr="00541AD6" w14:paraId="784B28E9" w14:textId="77777777" w:rsidTr="00842EC5">
        <w:tc>
          <w:tcPr>
            <w:tcW w:w="2425" w:type="dxa"/>
          </w:tcPr>
          <w:p w14:paraId="406D28A1" w14:textId="77777777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Approved By:</w:t>
            </w:r>
          </w:p>
        </w:tc>
        <w:tc>
          <w:tcPr>
            <w:tcW w:w="7874" w:type="dxa"/>
          </w:tcPr>
          <w:p w14:paraId="36BC7E6F" w14:textId="4A229168" w:rsidR="00D46212" w:rsidRPr="00541AD6" w:rsidRDefault="00520B40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</w:t>
            </w:r>
            <w:r w:rsidR="00FC1744">
              <w:rPr>
                <w:rFonts w:ascii="Calibri" w:hAnsi="Calibri" w:cs="Calibri"/>
                <w:sz w:val="24"/>
              </w:rPr>
              <w:t xml:space="preserve"> Committee</w:t>
            </w:r>
          </w:p>
        </w:tc>
      </w:tr>
      <w:tr w:rsidR="00D46212" w:rsidRPr="00541AD6" w14:paraId="2481A209" w14:textId="77777777" w:rsidTr="00842EC5">
        <w:tc>
          <w:tcPr>
            <w:tcW w:w="2425" w:type="dxa"/>
          </w:tcPr>
          <w:p w14:paraId="766D6282" w14:textId="4949D883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Date</w:t>
            </w:r>
            <w:r w:rsidR="3FC9BE36" w:rsidRPr="4A5A93BD">
              <w:rPr>
                <w:rFonts w:ascii="Calibri" w:hAnsi="Calibri" w:cs="Calibri"/>
                <w:b/>
                <w:bCs/>
                <w:sz w:val="24"/>
              </w:rPr>
              <w:t>s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BE01A35" w:rsidRPr="4A5A93BD">
              <w:rPr>
                <w:rFonts w:ascii="Calibri" w:hAnsi="Calibri" w:cs="Calibri"/>
                <w:b/>
                <w:bCs/>
                <w:sz w:val="24"/>
              </w:rPr>
              <w:t>Reviewed</w:t>
            </w:r>
            <w:r w:rsidRPr="4A5A93B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7874" w:type="dxa"/>
          </w:tcPr>
          <w:p w14:paraId="18CFF2A8" w14:textId="62772CC4" w:rsidR="008D4B26" w:rsidRDefault="006E68C9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January</w:t>
            </w:r>
            <w:r w:rsidRPr="001F77E9">
              <w:rPr>
                <w:rFonts w:ascii="Calibri" w:hAnsi="Calibri" w:cs="Calibri"/>
                <w:sz w:val="24"/>
              </w:rPr>
              <w:t xml:space="preserve"> </w:t>
            </w:r>
            <w:r w:rsidR="003B6F38" w:rsidRPr="001F77E9">
              <w:rPr>
                <w:rFonts w:ascii="Calibri" w:hAnsi="Calibri" w:cs="Calibri"/>
                <w:sz w:val="24"/>
              </w:rPr>
              <w:t>2023</w:t>
            </w:r>
          </w:p>
          <w:p w14:paraId="5D691CC5" w14:textId="43C34777" w:rsidR="006E68C9" w:rsidRPr="00541AD6" w:rsidRDefault="006E68C9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April 2024 </w:t>
            </w:r>
          </w:p>
        </w:tc>
      </w:tr>
      <w:tr w:rsidR="00D46212" w:rsidRPr="00541AD6" w14:paraId="390E0395" w14:textId="77777777" w:rsidTr="00842EC5">
        <w:tc>
          <w:tcPr>
            <w:tcW w:w="2425" w:type="dxa"/>
          </w:tcPr>
          <w:p w14:paraId="2EC07BEC" w14:textId="684F1DD8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Date of Next Review</w:t>
            </w:r>
          </w:p>
        </w:tc>
        <w:tc>
          <w:tcPr>
            <w:tcW w:w="7874" w:type="dxa"/>
          </w:tcPr>
          <w:p w14:paraId="295EE899" w14:textId="13FB5537" w:rsidR="00D46212" w:rsidRPr="00541AD6" w:rsidRDefault="006E68C9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April 2025</w:t>
            </w:r>
          </w:p>
        </w:tc>
      </w:tr>
      <w:tr w:rsidR="00D46212" w:rsidRPr="00541AD6" w14:paraId="6C5CD1DD" w14:textId="77777777" w:rsidTr="00842EC5">
        <w:tc>
          <w:tcPr>
            <w:tcW w:w="2425" w:type="dxa"/>
          </w:tcPr>
          <w:p w14:paraId="1C31FF66" w14:textId="77777777" w:rsidR="00D46212" w:rsidRPr="00541AD6" w:rsidRDefault="1694400A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4A5A93BD">
              <w:rPr>
                <w:rFonts w:ascii="Calibri" w:hAnsi="Calibri" w:cs="Calibri"/>
                <w:b/>
                <w:bCs/>
                <w:sz w:val="24"/>
              </w:rPr>
              <w:t>Version</w:t>
            </w:r>
          </w:p>
        </w:tc>
        <w:tc>
          <w:tcPr>
            <w:tcW w:w="7874" w:type="dxa"/>
          </w:tcPr>
          <w:p w14:paraId="451FB483" w14:textId="77549EBA" w:rsidR="00D46212" w:rsidRPr="00541AD6" w:rsidRDefault="00A27ED5" w:rsidP="4A5A93BD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  <w:r w:rsidR="00520B40">
              <w:rPr>
                <w:rFonts w:ascii="Calibri" w:hAnsi="Calibri" w:cs="Calibri"/>
                <w:sz w:val="24"/>
              </w:rPr>
              <w:t>.0</w:t>
            </w:r>
          </w:p>
        </w:tc>
      </w:tr>
      <w:tr w:rsidR="00A27ED5" w:rsidRPr="00541AD6" w14:paraId="003EB7C9" w14:textId="77777777" w:rsidTr="00842EC5">
        <w:tc>
          <w:tcPr>
            <w:tcW w:w="2425" w:type="dxa"/>
          </w:tcPr>
          <w:p w14:paraId="1AE7F5F5" w14:textId="559D50DF" w:rsidR="00A27ED5" w:rsidRPr="00D91736" w:rsidRDefault="00D65171" w:rsidP="4A5A93B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91736">
              <w:rPr>
                <w:rFonts w:ascii="Calibri" w:hAnsi="Calibri" w:cs="Calibri"/>
                <w:b/>
                <w:bCs/>
                <w:sz w:val="24"/>
              </w:rPr>
              <w:t>Related Policies</w:t>
            </w:r>
          </w:p>
        </w:tc>
        <w:tc>
          <w:tcPr>
            <w:tcW w:w="7874" w:type="dxa"/>
          </w:tcPr>
          <w:p w14:paraId="4FD38268" w14:textId="325D4590" w:rsidR="00A27ED5" w:rsidRDefault="00FB71F9" w:rsidP="00D65171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Applying for a Second Provisional Practice Certificate of registration (PPC)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14:paraId="06D24695" w14:textId="4A918FEF" w:rsidR="00D11C02" w:rsidRPr="00AD7E64" w:rsidRDefault="00520B40" w:rsidP="009737DC">
      <w:pPr>
        <w:pStyle w:val="paragraph"/>
        <w:spacing w:beforeLines="120" w:before="288" w:beforeAutospacing="0" w:afterLines="60" w:after="144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Complete exam applications will be reviewed by the examinations team and scheduled into the next available exam session within </w:t>
      </w:r>
      <w:r w:rsidRPr="00AD7E64"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four </w:t>
      </w:r>
      <w:r w:rsidR="00365135" w:rsidRPr="00AD7E64"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(4) </w:t>
      </w:r>
      <w:r w:rsidRPr="00AD7E64"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weeks </w:t>
      </w:r>
      <w:r w:rsidR="00365135" w:rsidRPr="00AD7E64"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</w:rPr>
        <w:t xml:space="preserve">(20 business days) </w:t>
      </w: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of submission. </w:t>
      </w:r>
      <w:r w:rsidR="006A4785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Candidates </w:t>
      </w:r>
      <w:r w:rsidR="006D18D1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should</w:t>
      </w:r>
      <w:r w:rsidR="006A4785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review the available exam dates, including registration deadlines, </w:t>
      </w:r>
      <w:r w:rsidR="000A7BE1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and</w:t>
      </w:r>
      <w:r w:rsidR="006D18D1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="000A7BE1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must indicate in the comments section of their exam application if they have any scheduling conflicts. </w:t>
      </w:r>
      <w:r w:rsidR="001E319B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The e</w:t>
      </w:r>
      <w:r w:rsidR="00DC590C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xam team</w:t>
      </w:r>
      <w:r w:rsidR="001E319B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may reach out for further information</w:t>
      </w:r>
      <w:r w:rsidR="00DC590C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. </w:t>
      </w:r>
    </w:p>
    <w:p w14:paraId="08CCCFE5" w14:textId="6FD26EE1" w:rsidR="006D18D1" w:rsidRPr="00AD7E64" w:rsidRDefault="00F24BC4" w:rsidP="009737DC">
      <w:pPr>
        <w:pStyle w:val="paragraph"/>
        <w:spacing w:beforeLines="120" w:before="288" w:beforeAutospacing="0" w:afterLines="60" w:after="144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It is not uncommon for candidates to submit their OCE application and an application for a Provisional Practice certificate concurrently. As soon as an exam date is assigned, the Registration team will work to </w:t>
      </w:r>
      <w:r w:rsidR="001A196C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complete the review of all Provisional Practice certificate applications. The expiry date for a Provisional Practice certificate is directly linked to the assigned Ontario Clinical Exam date. </w:t>
      </w:r>
    </w:p>
    <w:p w14:paraId="7D85BEB7" w14:textId="1EC014E0" w:rsidR="00FA4813" w:rsidRPr="00AD7E64" w:rsidRDefault="00520B40" w:rsidP="009737DC">
      <w:pPr>
        <w:pStyle w:val="paragraph"/>
        <w:spacing w:beforeLines="120" w:before="288" w:beforeAutospacing="0" w:afterLines="60" w:after="144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Candidates </w:t>
      </w:r>
      <w:r w:rsidR="00AD7E64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with a</w:t>
      </w: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Provisional Practice </w:t>
      </w:r>
      <w:r w:rsidR="00AD7E64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Certificate are</w:t>
      </w:r>
      <w:r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required to be registered in the next available exam session. This is a requirement for all candidates in supervised practice as outlined in the Physiotherapy Act, 1991.</w:t>
      </w:r>
      <w:r w:rsidR="00B21D3B" w:rsidRPr="00AD7E64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 </w:t>
      </w:r>
    </w:p>
    <w:p w14:paraId="58BC0A87" w14:textId="4D226389" w:rsidR="000E081E" w:rsidRPr="00B070E7" w:rsidRDefault="00046C95" w:rsidP="009737DC">
      <w:pPr>
        <w:spacing w:beforeLines="120" w:before="288" w:afterLines="60" w:after="144" w:line="240" w:lineRule="auto"/>
        <w:rPr>
          <w:rStyle w:val="normaltextrun"/>
          <w:rFonts w:ascii="Calibri" w:hAnsi="Calibri" w:cs="Calibri"/>
          <w:sz w:val="24"/>
        </w:rPr>
      </w:pPr>
      <w:r w:rsidRPr="00AD7E64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Once a candidates Provisional Practice Application is approved, </w:t>
      </w:r>
      <w:r w:rsidR="00FA4813" w:rsidRPr="00AD7E64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candidates will need to </w:t>
      </w:r>
      <w:r w:rsidR="00CF1F55" w:rsidRPr="00AD7E64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follow the processes outlined in the </w:t>
      </w:r>
      <w:r w:rsidR="00471BA3" w:rsidRPr="00AD7E64"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  <w:t xml:space="preserve">Rebooking, Cancellation and Withdrawal Policy </w:t>
      </w:r>
      <w:r w:rsidR="00D11C02" w:rsidRPr="00AD7E64"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  <w:t xml:space="preserve">(exam policy) and the </w:t>
      </w:r>
      <w:r w:rsidR="000E081E" w:rsidRPr="00AD7E64">
        <w:rPr>
          <w:rFonts w:ascii="Calibri" w:hAnsi="Calibri" w:cs="Calibri"/>
          <w:sz w:val="24"/>
        </w:rPr>
        <w:t>Applications for Second Provisional Practice certificates of Registration (registration policy).</w:t>
      </w:r>
    </w:p>
    <w:p w14:paraId="3619755B" w14:textId="09AF268E" w:rsidR="00905A0A" w:rsidRPr="009737DC" w:rsidRDefault="00520B40" w:rsidP="009737DC">
      <w:pPr>
        <w:pStyle w:val="paragraph"/>
        <w:spacing w:beforeLines="120" w:before="288" w:beforeAutospacing="0" w:afterLines="60" w:after="144" w:afterAutospacing="0"/>
        <w:textAlignment w:val="baseline"/>
        <w:rPr>
          <w:rFonts w:ascii="Calibri" w:eastAsia="Calibri" w:hAnsi="Calibri" w:cs="Calibri"/>
          <w:color w:val="000000"/>
          <w:shd w:val="clear" w:color="auto" w:fill="FFFFFF"/>
        </w:rPr>
      </w:pPr>
      <w:r w:rsidRPr="00520B40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Candidates that do not have a Provisional Practice certificate </w:t>
      </w:r>
      <w:r w:rsidR="001D65C9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 xml:space="preserve">or who do not meet the eligibility criteria to apply for a Provisional Practice certificate </w:t>
      </w:r>
      <w:r w:rsidRPr="00520B40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are not required to take the next available exam. When a date is assigned, these candidates will have 10 business days to decline the offered date without financial penalty. Changing their assigned dates after the 10-business day period will result in payment of a rebooking fee or other associated fees as outlined in the Exam Fees Policy.</w:t>
      </w:r>
    </w:p>
    <w:sectPr w:rsidR="00905A0A" w:rsidRPr="009737DC" w:rsidSect="009737DC">
      <w:headerReference w:type="default" r:id="rId12"/>
      <w:footerReference w:type="default" r:id="rId13"/>
      <w:footerReference w:type="first" r:id="rId14"/>
      <w:pgSz w:w="12240" w:h="15840" w:code="1"/>
      <w:pgMar w:top="2127" w:right="1077" w:bottom="81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231A" w14:textId="77777777" w:rsidR="00E43E82" w:rsidRDefault="00E43E82" w:rsidP="002A0431">
      <w:r>
        <w:separator/>
      </w:r>
    </w:p>
  </w:endnote>
  <w:endnote w:type="continuationSeparator" w:id="0">
    <w:p w14:paraId="411C8960" w14:textId="77777777" w:rsidR="00E43E82" w:rsidRDefault="00E43E82" w:rsidP="002A0431">
      <w:r>
        <w:continuationSeparator/>
      </w:r>
    </w:p>
  </w:endnote>
  <w:endnote w:type="continuationNotice" w:id="1">
    <w:p w14:paraId="644B54A1" w14:textId="77777777" w:rsidR="00E43E82" w:rsidRDefault="00E43E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9684" w14:textId="77777777" w:rsidR="004F4014" w:rsidRPr="00842EC5" w:rsidRDefault="002A08B4">
    <w:pPr>
      <w:pStyle w:val="Footer"/>
      <w:jc w:val="right"/>
      <w:rPr>
        <w:rFonts w:ascii="Calibri" w:hAnsi="Calibri" w:cs="Calibri"/>
        <w:noProof/>
        <w:sz w:val="24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begin"/>
        </w:r>
        <w:r w:rsidR="00184D1E" w:rsidRPr="00842EC5">
          <w:rPr>
            <w:rFonts w:ascii="Calibri" w:hAnsi="Calibri" w:cs="Calibri"/>
            <w:sz w:val="24"/>
          </w:rPr>
          <w:instrText xml:space="preserve"> PAGE   \* MERGEFORMAT </w:instrTex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separate"/>
        </w:r>
        <w:r w:rsidR="00D14DDE" w:rsidRPr="00842EC5">
          <w:rPr>
            <w:rFonts w:ascii="Calibri" w:hAnsi="Calibri" w:cs="Calibri"/>
            <w:noProof/>
            <w:sz w:val="24"/>
          </w:rPr>
          <w:t>3</w:t>
        </w:r>
        <w:r w:rsidR="00184D1E" w:rsidRPr="00842EC5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end"/>
        </w:r>
      </w:sdtContent>
    </w:sdt>
  </w:p>
  <w:p w14:paraId="3FB4B076" w14:textId="77777777" w:rsidR="004F4014" w:rsidRDefault="002A08B4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style="mso-next-textbox:#zzmpTrailer_1078_19"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472F" w14:textId="77777777" w:rsidR="004F4014" w:rsidRDefault="002A08B4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style="mso-next-textbox:#zzmpTrailer_1078_1B" inset="0,0,0,0">
            <w:txbxContent>
              <w:p w14:paraId="00379A18" w14:textId="1B4518AB" w:rsidR="004F4014" w:rsidRDefault="004F4014">
                <w:pPr>
                  <w:pStyle w:val="MacPacTrailer"/>
                </w:pPr>
                <w:r>
                  <w:t xml:space="preserve">17015686.3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1113" w14:textId="77777777" w:rsidR="00E43E82" w:rsidRDefault="00E43E82" w:rsidP="002A0431">
      <w:r>
        <w:separator/>
      </w:r>
    </w:p>
  </w:footnote>
  <w:footnote w:type="continuationSeparator" w:id="0">
    <w:p w14:paraId="774DFBCA" w14:textId="77777777" w:rsidR="00E43E82" w:rsidRDefault="00E43E82" w:rsidP="002A0431">
      <w:r>
        <w:continuationSeparator/>
      </w:r>
    </w:p>
  </w:footnote>
  <w:footnote w:type="continuationNotice" w:id="1">
    <w:p w14:paraId="67E4E435" w14:textId="77777777" w:rsidR="00E43E82" w:rsidRDefault="00E43E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280E" w14:textId="66A8D445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23AD7E43">
              <wp:simplePos x="0" y="0"/>
              <wp:positionH relativeFrom="column">
                <wp:posOffset>3211830</wp:posOffset>
              </wp:positionH>
              <wp:positionV relativeFrom="paragraph">
                <wp:posOffset>-19050</wp:posOffset>
              </wp:positionV>
              <wp:extent cx="29438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8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6BD4B575" w:rsidR="00DB7DDF" w:rsidRPr="0028605B" w:rsidRDefault="00894A2E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78A22F"/>
                              <w:sz w:val="28"/>
                              <w:szCs w:val="28"/>
                            </w:rPr>
                            <w:t>Exam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9pt;margin-top:-1.5pt;width:231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" filled="f" stroked="f">
              <v:textbox>
                <w:txbxContent>
                  <w:p w14:paraId="7AEB2A3C" w14:textId="6BD4B575" w:rsidR="00DB7DDF" w:rsidRPr="0028605B" w:rsidRDefault="00894A2E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78A22F"/>
                        <w:sz w:val="28"/>
                        <w:szCs w:val="28"/>
                      </w:rPr>
                      <w:t>Exam Committee</w:t>
                    </w:r>
                  </w:p>
                </w:txbxContent>
              </v:textbox>
            </v:shape>
          </w:pict>
        </mc:Fallback>
      </mc:AlternateContent>
    </w:r>
    <w:r w:rsidR="00DB7DDF" w:rsidRPr="006E13B8">
      <w:rPr>
        <w:noProof/>
        <w:color w:val="2B579A"/>
        <w:shd w:val="clear" w:color="auto" w:fill="E6E6E6"/>
        <w:lang w:eastAsia="en-CA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1429964444" name="Picture 142996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DDF">
      <w:tab/>
    </w:r>
    <w:r w:rsidR="00DB7DDF"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0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470128">
    <w:abstractNumId w:val="10"/>
  </w:num>
  <w:num w:numId="2" w16cid:durableId="1143616200">
    <w:abstractNumId w:val="25"/>
  </w:num>
  <w:num w:numId="3" w16cid:durableId="855000918">
    <w:abstractNumId w:val="11"/>
  </w:num>
  <w:num w:numId="4" w16cid:durableId="362443978">
    <w:abstractNumId w:val="26"/>
  </w:num>
  <w:num w:numId="5" w16cid:durableId="108166511">
    <w:abstractNumId w:val="8"/>
  </w:num>
  <w:num w:numId="6" w16cid:durableId="385690108">
    <w:abstractNumId w:val="4"/>
  </w:num>
  <w:num w:numId="7" w16cid:durableId="1158613746">
    <w:abstractNumId w:val="1"/>
  </w:num>
  <w:num w:numId="8" w16cid:durableId="2005157079">
    <w:abstractNumId w:val="9"/>
  </w:num>
  <w:num w:numId="9" w16cid:durableId="624428955">
    <w:abstractNumId w:val="19"/>
  </w:num>
  <w:num w:numId="10" w16cid:durableId="216354282">
    <w:abstractNumId w:val="17"/>
  </w:num>
  <w:num w:numId="11" w16cid:durableId="1432317746">
    <w:abstractNumId w:val="23"/>
  </w:num>
  <w:num w:numId="12" w16cid:durableId="482504192">
    <w:abstractNumId w:val="14"/>
  </w:num>
  <w:num w:numId="13" w16cid:durableId="1228300557">
    <w:abstractNumId w:val="2"/>
  </w:num>
  <w:num w:numId="14" w16cid:durableId="287786054">
    <w:abstractNumId w:val="7"/>
  </w:num>
  <w:num w:numId="15" w16cid:durableId="1381048696">
    <w:abstractNumId w:val="5"/>
  </w:num>
  <w:num w:numId="16" w16cid:durableId="1036082494">
    <w:abstractNumId w:val="20"/>
  </w:num>
  <w:num w:numId="17" w16cid:durableId="1331716575">
    <w:abstractNumId w:val="12"/>
  </w:num>
  <w:num w:numId="18" w16cid:durableId="2076271821">
    <w:abstractNumId w:val="21"/>
  </w:num>
  <w:num w:numId="19" w16cid:durableId="1399598812">
    <w:abstractNumId w:val="15"/>
  </w:num>
  <w:num w:numId="20" w16cid:durableId="1615013137">
    <w:abstractNumId w:val="16"/>
  </w:num>
  <w:num w:numId="21" w16cid:durableId="1084490913">
    <w:abstractNumId w:val="22"/>
  </w:num>
  <w:num w:numId="22" w16cid:durableId="1103569358">
    <w:abstractNumId w:val="27"/>
  </w:num>
  <w:num w:numId="23" w16cid:durableId="255867629">
    <w:abstractNumId w:val="13"/>
  </w:num>
  <w:num w:numId="24" w16cid:durableId="1537035416">
    <w:abstractNumId w:val="3"/>
  </w:num>
  <w:num w:numId="25" w16cid:durableId="826940176">
    <w:abstractNumId w:val="6"/>
  </w:num>
  <w:num w:numId="26" w16cid:durableId="2062169111">
    <w:abstractNumId w:val="24"/>
  </w:num>
  <w:num w:numId="27" w16cid:durableId="229776742">
    <w:abstractNumId w:val="0"/>
  </w:num>
  <w:num w:numId="28" w16cid:durableId="3600975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4578"/>
    <w:rsid w:val="00004C80"/>
    <w:rsid w:val="000056DA"/>
    <w:rsid w:val="00005CE2"/>
    <w:rsid w:val="00006169"/>
    <w:rsid w:val="0000630C"/>
    <w:rsid w:val="00006FC7"/>
    <w:rsid w:val="0000700F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46C95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0C9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A7BE1"/>
    <w:rsid w:val="000B1166"/>
    <w:rsid w:val="000B1884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81E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5E71"/>
    <w:rsid w:val="000F7275"/>
    <w:rsid w:val="001008C9"/>
    <w:rsid w:val="00100D0E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3BB1"/>
    <w:rsid w:val="00174448"/>
    <w:rsid w:val="00174FA5"/>
    <w:rsid w:val="001754B0"/>
    <w:rsid w:val="001765BF"/>
    <w:rsid w:val="00176C88"/>
    <w:rsid w:val="00176C9B"/>
    <w:rsid w:val="00177287"/>
    <w:rsid w:val="00177BF3"/>
    <w:rsid w:val="00180B9B"/>
    <w:rsid w:val="00180DDD"/>
    <w:rsid w:val="00181358"/>
    <w:rsid w:val="00181ACD"/>
    <w:rsid w:val="00181DAB"/>
    <w:rsid w:val="001820F0"/>
    <w:rsid w:val="001832B5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96C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5C9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9B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8B4"/>
    <w:rsid w:val="002A0B00"/>
    <w:rsid w:val="002A1258"/>
    <w:rsid w:val="002A168B"/>
    <w:rsid w:val="002A320C"/>
    <w:rsid w:val="002A34BF"/>
    <w:rsid w:val="002A35E3"/>
    <w:rsid w:val="002A398B"/>
    <w:rsid w:val="002A4C5D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16CA"/>
    <w:rsid w:val="002E18D3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135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F2D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6F38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085B"/>
    <w:rsid w:val="003F1CB7"/>
    <w:rsid w:val="003F2770"/>
    <w:rsid w:val="003F2AE4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853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5DCF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1BA3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0BF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20B40"/>
    <w:rsid w:val="00521CD4"/>
    <w:rsid w:val="00521FF0"/>
    <w:rsid w:val="00522285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440B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444"/>
    <w:rsid w:val="006904F7"/>
    <w:rsid w:val="00690705"/>
    <w:rsid w:val="006913CB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785"/>
    <w:rsid w:val="006A4B23"/>
    <w:rsid w:val="006A5396"/>
    <w:rsid w:val="006A5399"/>
    <w:rsid w:val="006A587F"/>
    <w:rsid w:val="006A64EA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8D1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8C9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2152"/>
    <w:rsid w:val="00723AD5"/>
    <w:rsid w:val="00723B83"/>
    <w:rsid w:val="00723FC1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163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1F26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ACA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2EC5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358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A98"/>
    <w:rsid w:val="00890B3A"/>
    <w:rsid w:val="00891460"/>
    <w:rsid w:val="00892017"/>
    <w:rsid w:val="00892754"/>
    <w:rsid w:val="00893CAA"/>
    <w:rsid w:val="008940F1"/>
    <w:rsid w:val="008945E8"/>
    <w:rsid w:val="008946D1"/>
    <w:rsid w:val="00894A2E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5B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A0A"/>
    <w:rsid w:val="00905D15"/>
    <w:rsid w:val="00905F64"/>
    <w:rsid w:val="00905FD3"/>
    <w:rsid w:val="009064D6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6CF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86A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7DC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E4B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0442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3E47"/>
    <w:rsid w:val="009E41F2"/>
    <w:rsid w:val="009E47EE"/>
    <w:rsid w:val="009E4896"/>
    <w:rsid w:val="009E5716"/>
    <w:rsid w:val="009E58E1"/>
    <w:rsid w:val="009E5B94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35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D5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5DA1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C16"/>
    <w:rsid w:val="00A50D71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0696"/>
    <w:rsid w:val="00AD148B"/>
    <w:rsid w:val="00AD17AB"/>
    <w:rsid w:val="00AD2193"/>
    <w:rsid w:val="00AD3262"/>
    <w:rsid w:val="00AD4257"/>
    <w:rsid w:val="00AD5770"/>
    <w:rsid w:val="00AD627B"/>
    <w:rsid w:val="00AD6E71"/>
    <w:rsid w:val="00AD7E64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0E7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3B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F21"/>
    <w:rsid w:val="00B36F91"/>
    <w:rsid w:val="00B36F9A"/>
    <w:rsid w:val="00B37527"/>
    <w:rsid w:val="00B4026B"/>
    <w:rsid w:val="00B40AB6"/>
    <w:rsid w:val="00B40E3D"/>
    <w:rsid w:val="00B4127A"/>
    <w:rsid w:val="00B4178A"/>
    <w:rsid w:val="00B417AE"/>
    <w:rsid w:val="00B437DC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697"/>
    <w:rsid w:val="00B64ECA"/>
    <w:rsid w:val="00B656BE"/>
    <w:rsid w:val="00B65AAF"/>
    <w:rsid w:val="00B65D42"/>
    <w:rsid w:val="00B67A37"/>
    <w:rsid w:val="00B67A57"/>
    <w:rsid w:val="00B67DE9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7ED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B7E5B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349A"/>
    <w:rsid w:val="00CD38BC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30F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1F55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C02"/>
    <w:rsid w:val="00D11FFD"/>
    <w:rsid w:val="00D1386D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171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736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4BA8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590C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961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3E82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68D8"/>
    <w:rsid w:val="00E57026"/>
    <w:rsid w:val="00E60F92"/>
    <w:rsid w:val="00E61306"/>
    <w:rsid w:val="00E613C0"/>
    <w:rsid w:val="00E625E1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CFD"/>
    <w:rsid w:val="00E71BD2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2852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8FF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14E0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070"/>
    <w:rsid w:val="00ED6FCD"/>
    <w:rsid w:val="00ED7B7F"/>
    <w:rsid w:val="00EE0318"/>
    <w:rsid w:val="00EE0434"/>
    <w:rsid w:val="00EE050A"/>
    <w:rsid w:val="00EE2A6D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C4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A55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4813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1F9"/>
    <w:rsid w:val="00FB756C"/>
    <w:rsid w:val="00FB7BE1"/>
    <w:rsid w:val="00FC06B1"/>
    <w:rsid w:val="00FC1167"/>
    <w:rsid w:val="00FC11BF"/>
    <w:rsid w:val="00FC1744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992"/>
    <w:rsid w:val="00FC69B0"/>
    <w:rsid w:val="00FC6A31"/>
    <w:rsid w:val="00FC6B54"/>
    <w:rsid w:val="00FC6C2E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704CFB"/>
    <w:rsid w:val="01960370"/>
    <w:rsid w:val="01A6B129"/>
    <w:rsid w:val="02485A01"/>
    <w:rsid w:val="0418497E"/>
    <w:rsid w:val="04890C85"/>
    <w:rsid w:val="048A692E"/>
    <w:rsid w:val="06D46C92"/>
    <w:rsid w:val="070DD47D"/>
    <w:rsid w:val="07178D4C"/>
    <w:rsid w:val="08044AF6"/>
    <w:rsid w:val="0843FB47"/>
    <w:rsid w:val="090078F5"/>
    <w:rsid w:val="0B0D6AEA"/>
    <w:rsid w:val="0BE01A35"/>
    <w:rsid w:val="0C33EAAF"/>
    <w:rsid w:val="0C549026"/>
    <w:rsid w:val="0F56F0CB"/>
    <w:rsid w:val="103BB4E4"/>
    <w:rsid w:val="10C8C62A"/>
    <w:rsid w:val="12666B51"/>
    <w:rsid w:val="12A06574"/>
    <w:rsid w:val="13D21011"/>
    <w:rsid w:val="14142B96"/>
    <w:rsid w:val="1437A768"/>
    <w:rsid w:val="15D668BA"/>
    <w:rsid w:val="15FDFF81"/>
    <w:rsid w:val="1654790E"/>
    <w:rsid w:val="1694400A"/>
    <w:rsid w:val="177B407A"/>
    <w:rsid w:val="1882C9B6"/>
    <w:rsid w:val="1A893DB1"/>
    <w:rsid w:val="1B1416EC"/>
    <w:rsid w:val="2059A31D"/>
    <w:rsid w:val="21163B38"/>
    <w:rsid w:val="228D6514"/>
    <w:rsid w:val="2330C01D"/>
    <w:rsid w:val="2350B661"/>
    <w:rsid w:val="2370520E"/>
    <w:rsid w:val="247831B9"/>
    <w:rsid w:val="25318E97"/>
    <w:rsid w:val="2707E63E"/>
    <w:rsid w:val="2857AACC"/>
    <w:rsid w:val="28C4B19B"/>
    <w:rsid w:val="2927BD69"/>
    <w:rsid w:val="2A5862A0"/>
    <w:rsid w:val="2AA85EC5"/>
    <w:rsid w:val="2AB240A2"/>
    <w:rsid w:val="2CE75C77"/>
    <w:rsid w:val="2D49606C"/>
    <w:rsid w:val="30E5A7AD"/>
    <w:rsid w:val="31377F38"/>
    <w:rsid w:val="344074DC"/>
    <w:rsid w:val="35729844"/>
    <w:rsid w:val="3578346A"/>
    <w:rsid w:val="36978936"/>
    <w:rsid w:val="36C60325"/>
    <w:rsid w:val="36C860F4"/>
    <w:rsid w:val="3760565A"/>
    <w:rsid w:val="37708D56"/>
    <w:rsid w:val="38FD55AB"/>
    <w:rsid w:val="397945AF"/>
    <w:rsid w:val="3B8543D4"/>
    <w:rsid w:val="3BC3745B"/>
    <w:rsid w:val="3CD896F8"/>
    <w:rsid w:val="3D1D4B3C"/>
    <w:rsid w:val="3D840D57"/>
    <w:rsid w:val="3FC9BE36"/>
    <w:rsid w:val="40702374"/>
    <w:rsid w:val="424D231E"/>
    <w:rsid w:val="450002D2"/>
    <w:rsid w:val="453BEAA1"/>
    <w:rsid w:val="4547443D"/>
    <w:rsid w:val="467DDD0E"/>
    <w:rsid w:val="4765A033"/>
    <w:rsid w:val="47B6C185"/>
    <w:rsid w:val="47D18B1F"/>
    <w:rsid w:val="48CA5164"/>
    <w:rsid w:val="4A0F5BC4"/>
    <w:rsid w:val="4A5A93BD"/>
    <w:rsid w:val="4AA97689"/>
    <w:rsid w:val="4C3334B2"/>
    <w:rsid w:val="4C7F468A"/>
    <w:rsid w:val="4D90B8D2"/>
    <w:rsid w:val="4D94E9DE"/>
    <w:rsid w:val="4DB0A2BC"/>
    <w:rsid w:val="4E0E95B9"/>
    <w:rsid w:val="4E7D184A"/>
    <w:rsid w:val="4E837291"/>
    <w:rsid w:val="4FCC9E2D"/>
    <w:rsid w:val="5048E8F2"/>
    <w:rsid w:val="5164B715"/>
    <w:rsid w:val="52EE5C56"/>
    <w:rsid w:val="5572B478"/>
    <w:rsid w:val="563B19F9"/>
    <w:rsid w:val="56A457CD"/>
    <w:rsid w:val="56D4B66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7BB51B"/>
    <w:rsid w:val="630DD113"/>
    <w:rsid w:val="64BC21D7"/>
    <w:rsid w:val="65465E9E"/>
    <w:rsid w:val="65D4C9D4"/>
    <w:rsid w:val="66365B2B"/>
    <w:rsid w:val="672ADFD1"/>
    <w:rsid w:val="6A4B8345"/>
    <w:rsid w:val="6C59F025"/>
    <w:rsid w:val="6D466EB8"/>
    <w:rsid w:val="6DF846AF"/>
    <w:rsid w:val="71841EAC"/>
    <w:rsid w:val="71ECEA95"/>
    <w:rsid w:val="72837D40"/>
    <w:rsid w:val="73747552"/>
    <w:rsid w:val="73BC0CAB"/>
    <w:rsid w:val="73DC1623"/>
    <w:rsid w:val="742FBEB8"/>
    <w:rsid w:val="75EC8BCA"/>
    <w:rsid w:val="765737CA"/>
    <w:rsid w:val="76AC1614"/>
    <w:rsid w:val="7711BDCA"/>
    <w:rsid w:val="78D19ACA"/>
    <w:rsid w:val="79DA5537"/>
    <w:rsid w:val="7C1355C1"/>
    <w:rsid w:val="7E3BD676"/>
    <w:rsid w:val="7E48103E"/>
    <w:rsid w:val="7F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AED1E57C-A32E-4B2A-BD94-4726382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autoRedefine/>
    <w:uiPriority w:val="9"/>
    <w:qFormat/>
    <w:locked/>
    <w:rsid w:val="00905A0A"/>
    <w:pPr>
      <w:spacing w:before="200" w:after="120" w:line="240" w:lineRule="auto"/>
      <w:outlineLvl w:val="1"/>
    </w:pPr>
    <w:rPr>
      <w:rFonts w:ascii="Calibri" w:eastAsia="Times New Roman" w:hAnsi="Calibri"/>
      <w:b/>
      <w:bCs/>
      <w:sz w:val="28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05A0A"/>
    <w:rPr>
      <w:rFonts w:ascii="Calibri" w:eastAsia="Times New Roman" w:hAnsi="Calibri"/>
      <w:b/>
      <w:bCs/>
      <w:color w:val="000000" w:themeColor="text1"/>
      <w:sz w:val="28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link w:val="BodyTextChar"/>
    <w:autoRedefine/>
    <w:qFormat/>
    <w:locked/>
    <w:rsid w:val="00100D0E"/>
    <w:pPr>
      <w:spacing w:before="120" w:after="60"/>
      <w:jc w:val="both"/>
    </w:pPr>
    <w:rPr>
      <w:rFonts w:ascii="Calibri" w:eastAsia="Times New Roman" w:hAnsi="Calibri"/>
      <w:color w:val="000000" w:themeColor="text1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0D0E"/>
    <w:rPr>
      <w:rFonts w:ascii="Calibri" w:eastAsia="Times New Roman" w:hAnsi="Calibri"/>
      <w:color w:val="000000" w:themeColor="text1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  <w:style w:type="paragraph" w:customStyle="1" w:styleId="CPOBodyText">
    <w:name w:val="CPO Body Text"/>
    <w:basedOn w:val="Normal"/>
    <w:uiPriority w:val="1"/>
    <w:rsid w:val="10C8C62A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7fd61-3f9f-4fe2-9747-26f59507d82a">
      <Terms xmlns="http://schemas.microsoft.com/office/infopath/2007/PartnerControls"/>
    </lcf76f155ced4ddcb4097134ff3c332f>
    <TaxCatchAll xmlns="033861a4-51cb-449e-bbfe-47047b29da0a" xsi:nil="true"/>
    <Image xmlns="6807fd61-3f9f-4fe2-9747-26f59507d8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5DF6284CFA4DAE37DE37D16CCB0A" ma:contentTypeVersion="18" ma:contentTypeDescription="Create a new document." ma:contentTypeScope="" ma:versionID="b1fdf7581b33408bf6fa23837098502c">
  <xsd:schema xmlns:xsd="http://www.w3.org/2001/XMLSchema" xmlns:xs="http://www.w3.org/2001/XMLSchema" xmlns:p="http://schemas.microsoft.com/office/2006/metadata/properties" xmlns:ns2="6807fd61-3f9f-4fe2-9747-26f59507d82a" xmlns:ns3="033861a4-51cb-449e-bbfe-47047b29da0a" targetNamespace="http://schemas.microsoft.com/office/2006/metadata/properties" ma:root="true" ma:fieldsID="522dac55a125e4e0f7a73c7098278e69" ns2:_="" ns3:_="">
    <xsd:import namespace="6807fd61-3f9f-4fe2-9747-26f59507d82a"/>
    <xsd:import namespace="033861a4-51cb-449e-bbfe-47047b29d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d61-3f9f-4fe2-9747-26f59507d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861a4-51cb-449e-bbfe-47047b29d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e458a7-654c-47c0-bb2c-951e637b9fe7}" ma:internalName="TaxCatchAll" ma:showField="CatchAllData" ma:web="033861a4-51cb-449e-bbfe-47047b29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E61E-5D91-4D8C-859A-091736EFD6A4}">
  <ds:schemaRefs>
    <ds:schemaRef ds:uri="http://schemas.microsoft.com/office/2006/metadata/properties"/>
    <ds:schemaRef ds:uri="http://schemas.microsoft.com/office/infopath/2007/PartnerControls"/>
    <ds:schemaRef ds:uri="6807fd61-3f9f-4fe2-9747-26f59507d82a"/>
    <ds:schemaRef ds:uri="033861a4-51cb-449e-bbfe-47047b29da0a"/>
  </ds:schemaRefs>
</ds:datastoreItem>
</file>

<file path=customXml/itemProps2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483E3-32C1-4F47-B6EA-A8E814810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d61-3f9f-4fe2-9747-26f59507d82a"/>
    <ds:schemaRef ds:uri="033861a4-51cb-449e-bbfe-47047b29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47</cp:revision>
  <cp:lastPrinted>2020-03-09T22:41:00Z</cp:lastPrinted>
  <dcterms:created xsi:type="dcterms:W3CDTF">2024-04-03T19:46:00Z</dcterms:created>
  <dcterms:modified xsi:type="dcterms:W3CDTF">2024-06-25T19:07:00Z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0x01010043F25DF6284CFA4DAE37DE37D16CCB0A</vt:lpwstr>
  </property>
  <property fmtid="{D5CDD505-2E9C-101B-9397-08002B2CF9AE}" pid="3" name="MediaServiceImageTags">
    <vt:lpwstr/>
  </property>
</Properties>
</file>