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252EFC">
      <w:pPr>
        <w:spacing w:line="240" w:lineRule="auto"/>
        <w:jc w:val="both"/>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252EFC">
            <w:pPr>
              <w:spacing w:line="240" w:lineRule="auto"/>
              <w:jc w:val="both"/>
              <w:rPr>
                <w:rFonts w:ascii="Calibri" w:hAnsi="Calibri" w:cs="Calibri"/>
                <w:b/>
                <w:bCs/>
                <w:sz w:val="24"/>
              </w:rPr>
            </w:pPr>
            <w:r>
              <w:rPr>
                <w:rFonts w:ascii="Calibri" w:hAnsi="Calibri"/>
                <w:b/>
                <w:bCs/>
                <w:sz w:val="24"/>
              </w:rPr>
              <w:t>Service</w:t>
            </w:r>
          </w:p>
        </w:tc>
        <w:tc>
          <w:tcPr>
            <w:tcW w:w="7874" w:type="dxa"/>
          </w:tcPr>
          <w:p w14:paraId="0A083BB0" w14:textId="3BA4730A" w:rsidR="00D46212" w:rsidRPr="00A25836" w:rsidRDefault="1694400A" w:rsidP="00252EFC">
            <w:pPr>
              <w:tabs>
                <w:tab w:val="left" w:pos="3026"/>
              </w:tabs>
              <w:spacing w:line="240" w:lineRule="auto"/>
              <w:jc w:val="both"/>
              <w:rPr>
                <w:rFonts w:ascii="Calibri" w:hAnsi="Calibri" w:cs="Calibri"/>
                <w:sz w:val="24"/>
              </w:rPr>
            </w:pPr>
            <w:r>
              <w:rPr>
                <w:rFonts w:ascii="Calibri" w:hAnsi="Calibri"/>
                <w:sz w:val="24"/>
              </w:rPr>
              <w:t>Inscription/Examen</w:t>
            </w:r>
            <w:r>
              <w:tab/>
            </w:r>
          </w:p>
        </w:tc>
      </w:tr>
      <w:tr w:rsidR="00D46212" w:rsidRPr="00541AD6" w14:paraId="5C436125" w14:textId="77777777" w:rsidTr="00842EC5">
        <w:tc>
          <w:tcPr>
            <w:tcW w:w="2425" w:type="dxa"/>
          </w:tcPr>
          <w:p w14:paraId="3EAFE7F9" w14:textId="77777777" w:rsidR="00D46212" w:rsidRPr="00541AD6" w:rsidRDefault="1694400A" w:rsidP="00252EFC">
            <w:pPr>
              <w:spacing w:line="240" w:lineRule="auto"/>
              <w:jc w:val="both"/>
              <w:rPr>
                <w:rFonts w:ascii="Calibri" w:hAnsi="Calibri" w:cs="Calibri"/>
                <w:b/>
                <w:bCs/>
                <w:sz w:val="24"/>
              </w:rPr>
            </w:pPr>
            <w:r>
              <w:rPr>
                <w:rFonts w:ascii="Calibri" w:hAnsi="Calibri"/>
                <w:b/>
                <w:bCs/>
                <w:sz w:val="24"/>
              </w:rPr>
              <w:t>Titre</w:t>
            </w:r>
          </w:p>
        </w:tc>
        <w:tc>
          <w:tcPr>
            <w:tcW w:w="7874" w:type="dxa"/>
          </w:tcPr>
          <w:p w14:paraId="7D630F00" w14:textId="5A86340E" w:rsidR="00D46212" w:rsidRPr="00A25836" w:rsidRDefault="00A25836" w:rsidP="00252EFC">
            <w:pPr>
              <w:pStyle w:val="BodyText"/>
              <w:jc w:val="both"/>
              <w:rPr>
                <w:rFonts w:eastAsia="Calibri"/>
              </w:rPr>
            </w:pPr>
            <w:r>
              <w:t>Politique relative à l’examen d’inscription - tentative non réussie</w:t>
            </w:r>
          </w:p>
        </w:tc>
      </w:tr>
      <w:tr w:rsidR="00D46212" w:rsidRPr="00541AD6" w14:paraId="7B106E87" w14:textId="77777777" w:rsidTr="00842EC5">
        <w:tc>
          <w:tcPr>
            <w:tcW w:w="2425" w:type="dxa"/>
          </w:tcPr>
          <w:p w14:paraId="1FF2A2E2" w14:textId="55F73255" w:rsidR="00D46212" w:rsidRPr="00541AD6" w:rsidRDefault="1694400A" w:rsidP="00252EFC">
            <w:pPr>
              <w:spacing w:line="240" w:lineRule="auto"/>
              <w:jc w:val="both"/>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541AD6" w:rsidRDefault="00FC1744" w:rsidP="00252EFC">
            <w:pPr>
              <w:spacing w:line="240" w:lineRule="auto"/>
              <w:jc w:val="both"/>
              <w:rPr>
                <w:rFonts w:ascii="Calibri" w:hAnsi="Calibri" w:cs="Calibri"/>
                <w:sz w:val="24"/>
              </w:rPr>
            </w:pPr>
            <w:r>
              <w:rPr>
                <w:rFonts w:ascii="Calibri" w:hAnsi="Calibri"/>
                <w:sz w:val="24"/>
              </w:rPr>
              <w:t>le 10 août 2022</w:t>
            </w:r>
          </w:p>
        </w:tc>
      </w:tr>
      <w:tr w:rsidR="00D46212" w:rsidRPr="00541AD6" w14:paraId="784B28E9" w14:textId="77777777" w:rsidTr="00842EC5">
        <w:tc>
          <w:tcPr>
            <w:tcW w:w="2425" w:type="dxa"/>
          </w:tcPr>
          <w:p w14:paraId="406D28A1" w14:textId="77777777" w:rsidR="00D46212" w:rsidRPr="00541AD6" w:rsidRDefault="1694400A" w:rsidP="00252EFC">
            <w:pPr>
              <w:spacing w:line="240" w:lineRule="auto"/>
              <w:jc w:val="both"/>
              <w:rPr>
                <w:rFonts w:ascii="Calibri" w:hAnsi="Calibri" w:cs="Calibri"/>
                <w:b/>
                <w:bCs/>
                <w:sz w:val="24"/>
              </w:rPr>
            </w:pPr>
            <w:r>
              <w:rPr>
                <w:rFonts w:ascii="Calibri" w:hAnsi="Calibri"/>
                <w:b/>
                <w:bCs/>
                <w:sz w:val="24"/>
              </w:rPr>
              <w:t>Approuvée par :</w:t>
            </w:r>
          </w:p>
        </w:tc>
        <w:tc>
          <w:tcPr>
            <w:tcW w:w="7874" w:type="dxa"/>
          </w:tcPr>
          <w:p w14:paraId="36BC7E6F" w14:textId="0A99FEB8" w:rsidR="00D46212" w:rsidRPr="00541AD6" w:rsidRDefault="00FC1744" w:rsidP="00252EFC">
            <w:pPr>
              <w:spacing w:line="240" w:lineRule="auto"/>
              <w:jc w:val="both"/>
              <w:rPr>
                <w:rFonts w:ascii="Calibri" w:hAnsi="Calibri" w:cs="Calibri"/>
                <w:sz w:val="24"/>
              </w:rPr>
            </w:pPr>
            <w:r>
              <w:rPr>
                <w:rFonts w:ascii="Calibri" w:hAnsi="Calibri"/>
                <w:sz w:val="24"/>
              </w:rPr>
              <w:t>Comité d’inscription</w:t>
            </w:r>
          </w:p>
        </w:tc>
      </w:tr>
      <w:tr w:rsidR="00D46212" w:rsidRPr="00541AD6" w14:paraId="2481A209" w14:textId="77777777" w:rsidTr="00842EC5">
        <w:tc>
          <w:tcPr>
            <w:tcW w:w="2425" w:type="dxa"/>
          </w:tcPr>
          <w:p w14:paraId="766D6282" w14:textId="4949D883" w:rsidR="00D46212" w:rsidRPr="00541AD6" w:rsidRDefault="1694400A" w:rsidP="00252EFC">
            <w:pPr>
              <w:spacing w:line="240" w:lineRule="auto"/>
              <w:jc w:val="both"/>
              <w:rPr>
                <w:rFonts w:ascii="Calibri" w:hAnsi="Calibri" w:cs="Calibri"/>
                <w:b/>
                <w:bCs/>
                <w:sz w:val="24"/>
              </w:rPr>
            </w:pPr>
            <w:r>
              <w:rPr>
                <w:rFonts w:ascii="Calibri" w:hAnsi="Calibri"/>
                <w:b/>
                <w:bCs/>
                <w:sz w:val="24"/>
              </w:rPr>
              <w:t>Date de révision :</w:t>
            </w:r>
          </w:p>
        </w:tc>
        <w:tc>
          <w:tcPr>
            <w:tcW w:w="7874" w:type="dxa"/>
          </w:tcPr>
          <w:p w14:paraId="5D691CC5" w14:textId="1AC765B1" w:rsidR="008D4B26" w:rsidRPr="00541AD6" w:rsidRDefault="008D4B26" w:rsidP="00252EFC">
            <w:pPr>
              <w:spacing w:line="240" w:lineRule="auto"/>
              <w:jc w:val="both"/>
              <w:rPr>
                <w:rFonts w:ascii="Calibri" w:hAnsi="Calibri" w:cs="Calibri"/>
                <w:sz w:val="24"/>
              </w:rPr>
            </w:pPr>
          </w:p>
        </w:tc>
      </w:tr>
      <w:tr w:rsidR="00D46212" w:rsidRPr="00541AD6" w14:paraId="390E0395" w14:textId="77777777" w:rsidTr="00842EC5">
        <w:tc>
          <w:tcPr>
            <w:tcW w:w="2425" w:type="dxa"/>
          </w:tcPr>
          <w:p w14:paraId="2EC07BEC" w14:textId="684F1DD8" w:rsidR="00D46212" w:rsidRPr="00541AD6" w:rsidRDefault="1694400A" w:rsidP="00252EFC">
            <w:pPr>
              <w:spacing w:line="240" w:lineRule="auto"/>
              <w:jc w:val="both"/>
              <w:rPr>
                <w:rFonts w:ascii="Calibri" w:hAnsi="Calibri" w:cs="Calibri"/>
                <w:b/>
                <w:bCs/>
                <w:sz w:val="24"/>
              </w:rPr>
            </w:pPr>
            <w:r>
              <w:rPr>
                <w:rFonts w:ascii="Calibri" w:hAnsi="Calibri"/>
                <w:b/>
                <w:bCs/>
                <w:sz w:val="24"/>
              </w:rPr>
              <w:t>Date de la prochaine revue</w:t>
            </w:r>
          </w:p>
        </w:tc>
        <w:tc>
          <w:tcPr>
            <w:tcW w:w="7874" w:type="dxa"/>
          </w:tcPr>
          <w:p w14:paraId="295EE899" w14:textId="6E95060C" w:rsidR="00D46212" w:rsidRPr="00541AD6" w:rsidRDefault="00D46212" w:rsidP="00252EFC">
            <w:pPr>
              <w:spacing w:line="240" w:lineRule="auto"/>
              <w:jc w:val="both"/>
              <w:rPr>
                <w:rFonts w:ascii="Calibri" w:hAnsi="Calibri" w:cs="Calibri"/>
                <w:sz w:val="24"/>
              </w:rPr>
            </w:pPr>
          </w:p>
        </w:tc>
      </w:tr>
      <w:tr w:rsidR="00D46212" w:rsidRPr="00541AD6" w14:paraId="6C5CD1DD" w14:textId="77777777" w:rsidTr="00842EC5">
        <w:tc>
          <w:tcPr>
            <w:tcW w:w="2425" w:type="dxa"/>
          </w:tcPr>
          <w:p w14:paraId="1C31FF66" w14:textId="77777777" w:rsidR="00D46212" w:rsidRPr="00541AD6" w:rsidRDefault="1694400A" w:rsidP="00252EFC">
            <w:pPr>
              <w:spacing w:line="240" w:lineRule="auto"/>
              <w:jc w:val="both"/>
              <w:rPr>
                <w:rFonts w:ascii="Calibri" w:hAnsi="Calibri" w:cs="Calibri"/>
                <w:b/>
                <w:bCs/>
                <w:sz w:val="24"/>
              </w:rPr>
            </w:pPr>
            <w:r>
              <w:rPr>
                <w:rFonts w:ascii="Calibri" w:hAnsi="Calibri"/>
                <w:b/>
                <w:bCs/>
                <w:sz w:val="24"/>
              </w:rPr>
              <w:t>Version</w:t>
            </w:r>
          </w:p>
        </w:tc>
        <w:tc>
          <w:tcPr>
            <w:tcW w:w="7874" w:type="dxa"/>
          </w:tcPr>
          <w:p w14:paraId="451FB483" w14:textId="6615F6E3" w:rsidR="00D46212" w:rsidRPr="00541AD6" w:rsidRDefault="00D46212" w:rsidP="00252EFC">
            <w:pPr>
              <w:spacing w:line="240" w:lineRule="auto"/>
              <w:jc w:val="both"/>
              <w:rPr>
                <w:rFonts w:ascii="Calibri" w:hAnsi="Calibri" w:cs="Calibri"/>
                <w:sz w:val="24"/>
              </w:rPr>
            </w:pPr>
          </w:p>
        </w:tc>
      </w:tr>
    </w:tbl>
    <w:p w14:paraId="3FEC080B" w14:textId="157BD6B3" w:rsidR="00D46212" w:rsidRPr="00541AD6" w:rsidRDefault="00D46212" w:rsidP="00252EFC">
      <w:pPr>
        <w:spacing w:line="240" w:lineRule="auto"/>
        <w:jc w:val="both"/>
        <w:rPr>
          <w:rFonts w:ascii="Calibri" w:hAnsi="Calibri" w:cs="Calibri"/>
          <w:sz w:val="24"/>
        </w:rPr>
      </w:pPr>
    </w:p>
    <w:p w14:paraId="0F05A0C5" w14:textId="77777777" w:rsidR="00A25836" w:rsidRDefault="00A25836" w:rsidP="00252EFC">
      <w:pPr>
        <w:pStyle w:val="paragraph"/>
        <w:spacing w:before="0" w:beforeAutospacing="0" w:after="0" w:afterAutospacing="0"/>
        <w:jc w:val="both"/>
        <w:textAlignment w:val="baseline"/>
        <w:rPr>
          <w:rStyle w:val="normaltextrun"/>
          <w:rFonts w:ascii="Calibri" w:eastAsia="Calibri" w:hAnsi="Calibri" w:cs="Calibri"/>
          <w:color w:val="000000"/>
          <w:shd w:val="clear" w:color="auto" w:fill="FFFFFF"/>
        </w:rPr>
      </w:pPr>
    </w:p>
    <w:p w14:paraId="3619755B" w14:textId="20ABF71C" w:rsidR="00905A0A" w:rsidRPr="00842EC5" w:rsidRDefault="00870B39" w:rsidP="00252EFC">
      <w:pPr>
        <w:pStyle w:val="BodyText"/>
        <w:jc w:val="both"/>
        <w:rPr>
          <w:rFonts w:eastAsia="Calibri"/>
        </w:rPr>
      </w:pPr>
      <w:r>
        <w:t xml:space="preserve">Lorsqu’un candidat ne réussit pas l’examen, le résultat de ce dernier compte comme une tentative. Si un candidat est titulaire d’un certificat d’exercice provisoire au moment où il reçoit son résultat négatif, il disposera de deux semaines pour transférer les soins ou libérer les patients avant que son certificat d’enregistrement ne soit révoqué. Si un candidat est inscrit dans une autre juridiction canadienne, il est responsable d’informer son organisme de réglementation de son échec à l’examen. </w:t>
      </w:r>
    </w:p>
    <w:sectPr w:rsidR="00905A0A" w:rsidRPr="00842EC5" w:rsidSect="00DF60FC">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3087" w14:textId="77777777" w:rsidR="00105678" w:rsidRDefault="00105678" w:rsidP="002A0431">
      <w:r>
        <w:separator/>
      </w:r>
    </w:p>
  </w:endnote>
  <w:endnote w:type="continuationSeparator" w:id="0">
    <w:p w14:paraId="4E17402B" w14:textId="77777777" w:rsidR="00105678" w:rsidRDefault="00105678" w:rsidP="002A0431">
      <w:r>
        <w:continuationSeparator/>
      </w:r>
    </w:p>
  </w:endnote>
  <w:endnote w:type="continuationNotice" w:id="1">
    <w:p w14:paraId="09A71553" w14:textId="77777777" w:rsidR="00105678" w:rsidRDefault="001056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000000">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000000">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000000">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5A7291C6"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CD5C" w14:textId="77777777" w:rsidR="00105678" w:rsidRDefault="00105678" w:rsidP="002A0431">
      <w:r>
        <w:separator/>
      </w:r>
    </w:p>
  </w:footnote>
  <w:footnote w:type="continuationSeparator" w:id="0">
    <w:p w14:paraId="73D097FD" w14:textId="77777777" w:rsidR="00105678" w:rsidRDefault="00105678" w:rsidP="002A0431">
      <w:r>
        <w:continuationSeparator/>
      </w:r>
    </w:p>
  </w:footnote>
  <w:footnote w:type="continuationNotice" w:id="1">
    <w:p w14:paraId="21A4E5D6" w14:textId="77777777" w:rsidR="00105678" w:rsidRDefault="001056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77777777" w:rsidR="00DB7DDF" w:rsidRPr="0028605B" w:rsidRDefault="0028605B" w:rsidP="00BC5ADA">
                          <w:pPr>
                            <w:spacing w:line="560" w:lineRule="exact"/>
                            <w:jc w:val="right"/>
                            <w:rPr>
                              <w:sz w:val="28"/>
                              <w:szCs w:val="28"/>
                            </w:rPr>
                          </w:pPr>
                          <w:r>
                            <w:rPr>
                              <w:b/>
                              <w:color w:val="78A22F"/>
                              <w:sz w:val="28"/>
                              <w:szCs w:val="28"/>
                            </w:rPr>
                            <w:t>Comité d’inscription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77777777" w:rsidR="00DB7DDF" w:rsidRPr="0028605B" w:rsidRDefault="0028605B" w:rsidP="00BC5ADA">
                    <w:pPr>
                      <w:spacing w:line="560" w:lineRule="exact"/>
                      <w:jc w:val="right"/>
                      <w:rPr>
                        <w:sz w:val="28"/>
                        <w:szCs w:val="28"/>
                      </w:rPr>
                    </w:pPr>
                    <w:r>
                      <w:rPr>
                        <w:b/>
                        <w:color w:val="78A22F"/>
                        <w:sz w:val="28"/>
                        <w:szCs w:val="28"/>
                      </w:rPr>
                      <w:t xml:space="preserve">Comité d’inscription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5"/>
  </w:num>
  <w:num w:numId="3" w16cid:durableId="855000918">
    <w:abstractNumId w:val="11"/>
  </w:num>
  <w:num w:numId="4" w16cid:durableId="362443978">
    <w:abstractNumId w:val="26"/>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19"/>
  </w:num>
  <w:num w:numId="10" w16cid:durableId="216354282">
    <w:abstractNumId w:val="17"/>
  </w:num>
  <w:num w:numId="11" w16cid:durableId="1432317746">
    <w:abstractNumId w:val="23"/>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0"/>
  </w:num>
  <w:num w:numId="17" w16cid:durableId="1331716575">
    <w:abstractNumId w:val="12"/>
  </w:num>
  <w:num w:numId="18" w16cid:durableId="2076271821">
    <w:abstractNumId w:val="21"/>
  </w:num>
  <w:num w:numId="19" w16cid:durableId="1399598812">
    <w:abstractNumId w:val="15"/>
  </w:num>
  <w:num w:numId="20" w16cid:durableId="1615013137">
    <w:abstractNumId w:val="16"/>
  </w:num>
  <w:num w:numId="21" w16cid:durableId="1084490913">
    <w:abstractNumId w:val="22"/>
  </w:num>
  <w:num w:numId="22" w16cid:durableId="1103569358">
    <w:abstractNumId w:val="27"/>
  </w:num>
  <w:num w:numId="23" w16cid:durableId="255867629">
    <w:abstractNumId w:val="13"/>
  </w:num>
  <w:num w:numId="24" w16cid:durableId="1537035416">
    <w:abstractNumId w:val="3"/>
  </w:num>
  <w:num w:numId="25" w16cid:durableId="826940176">
    <w:abstractNumId w:val="6"/>
  </w:num>
  <w:num w:numId="26" w16cid:durableId="2062169111">
    <w:abstractNumId w:val="24"/>
  </w:num>
  <w:num w:numId="27" w16cid:durableId="229776742">
    <w:abstractNumId w:val="0"/>
  </w:num>
  <w:num w:numId="28" w16cid:durableId="360097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0D0E"/>
    <w:rsid w:val="001011EA"/>
    <w:rsid w:val="001017B5"/>
    <w:rsid w:val="001022A4"/>
    <w:rsid w:val="0010311E"/>
    <w:rsid w:val="00103144"/>
    <w:rsid w:val="0010354F"/>
    <w:rsid w:val="00103A98"/>
    <w:rsid w:val="00103FAC"/>
    <w:rsid w:val="001040A6"/>
    <w:rsid w:val="00104800"/>
    <w:rsid w:val="00105678"/>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6D40"/>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5F84"/>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2EF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402"/>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1CC"/>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0B39"/>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1FDC"/>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3AB"/>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31B"/>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905A0A"/>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905A0A"/>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BC1FDC"/>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BC1FDC"/>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4" ma:contentTypeDescription="Create a new document." ma:contentTypeScope="" ma:versionID="6fef35b4c326f9778d716f9c87592395">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4d1cab55e202f5a9613f77bf4741a87d"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Props1.xml><?xml version="1.0" encoding="utf-8"?>
<ds:datastoreItem xmlns:ds="http://schemas.openxmlformats.org/officeDocument/2006/customXml" ds:itemID="{4A02F965-6684-43A6-91EA-DD5E244003D6}"/>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1ea6423-5f7c-4b67-9a22-f436eb69d7b3"/>
    <ds:schemaRef ds:uri="4cb9a93f-8fbb-4687-a66b-ae8c7cb6aa59"/>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C589A6AD-B717-4DE1-AD78-223AC2B811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Julia Bacic</cp:lastModifiedBy>
  <cp:revision>2</cp:revision>
  <cp:lastPrinted>2020-03-09T22:41:00Z</cp:lastPrinted>
  <dcterms:created xsi:type="dcterms:W3CDTF">2023-08-24T17:30:00Z</dcterms:created>
  <dcterms:modified xsi:type="dcterms:W3CDTF">2023-08-24T17:30:00Z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